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39" w:rsidRPr="00D16CA5" w:rsidRDefault="001554C9" w:rsidP="00FF4839">
      <w:pPr>
        <w:pStyle w:val="HeadingBoldBlue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752F47D" wp14:editId="247A3A00">
            <wp:simplePos x="0" y="0"/>
            <wp:positionH relativeFrom="column">
              <wp:posOffset>-572770</wp:posOffset>
            </wp:positionH>
            <wp:positionV relativeFrom="paragraph">
              <wp:posOffset>-581025</wp:posOffset>
            </wp:positionV>
            <wp:extent cx="1396365" cy="9696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-Signature-Logo-v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40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8FE307" wp14:editId="5A057BE1">
            <wp:simplePos x="0" y="0"/>
            <wp:positionH relativeFrom="column">
              <wp:posOffset>3872230</wp:posOffset>
            </wp:positionH>
            <wp:positionV relativeFrom="paragraph">
              <wp:posOffset>-473710</wp:posOffset>
            </wp:positionV>
            <wp:extent cx="2186305" cy="775335"/>
            <wp:effectExtent l="0" t="0" r="4445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W-NHS-BLU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839" w:rsidRPr="00D16CA5" w:rsidRDefault="00FF4839" w:rsidP="00FF4839">
      <w:pPr>
        <w:pStyle w:val="HeadingBoldBlue"/>
      </w:pPr>
      <w:bookmarkStart w:id="0" w:name="_GoBack"/>
    </w:p>
    <w:bookmarkEnd w:id="0"/>
    <w:p w:rsidR="00FF4839" w:rsidRPr="00D16CA5" w:rsidRDefault="00AE4400" w:rsidP="00AE4400">
      <w:pPr>
        <w:pStyle w:val="HeadingBoldBlue"/>
      </w:pPr>
      <w:r>
        <w:t xml:space="preserve">   </w:t>
      </w:r>
      <w:r>
        <w:tab/>
      </w:r>
      <w:r>
        <w:tab/>
        <w:t xml:space="preserve"> </w:t>
      </w:r>
    </w:p>
    <w:p w:rsidR="00FF4839" w:rsidRPr="00D16CA5" w:rsidRDefault="00FF4839" w:rsidP="00FF4839">
      <w:pPr>
        <w:pStyle w:val="HeadingBoldBlue"/>
      </w:pPr>
    </w:p>
    <w:p w:rsidR="00FF4839" w:rsidRPr="00D16CA5" w:rsidRDefault="00FF4839" w:rsidP="00FF4839">
      <w:pPr>
        <w:pStyle w:val="HeadingBoldBlue"/>
      </w:pPr>
    </w:p>
    <w:p w:rsidR="00FF4839" w:rsidRPr="00D16CA5" w:rsidRDefault="00FF4839" w:rsidP="00FF4839">
      <w:pPr>
        <w:pStyle w:val="HeadingBoldBlue"/>
      </w:pPr>
    </w:p>
    <w:p w:rsidR="00AE4400" w:rsidRDefault="00AE4400" w:rsidP="00FF4839">
      <w:pPr>
        <w:pStyle w:val="HeadingBoldBlue"/>
      </w:pPr>
    </w:p>
    <w:p w:rsidR="00AE4400" w:rsidRDefault="00AE4400" w:rsidP="00FF4839">
      <w:pPr>
        <w:pStyle w:val="HeadingBoldBlue"/>
      </w:pPr>
    </w:p>
    <w:p w:rsidR="00AE4400" w:rsidRDefault="00AE4400" w:rsidP="00FF4839">
      <w:pPr>
        <w:pStyle w:val="HeadingBoldBlue"/>
      </w:pPr>
    </w:p>
    <w:p w:rsidR="00FF4839" w:rsidRPr="00D16CA5" w:rsidRDefault="00FF4839" w:rsidP="00FF4839">
      <w:pPr>
        <w:pStyle w:val="HeadingBoldBlue"/>
      </w:pPr>
      <w:r w:rsidRPr="00D16CA5">
        <w:t>Preparing for the General Data Protection Regulation (GDPR)</w:t>
      </w:r>
    </w:p>
    <w:p w:rsidR="00FF4839" w:rsidRPr="00D16CA5" w:rsidRDefault="00FF4839" w:rsidP="00FF4839"/>
    <w:p w:rsidR="003E7D17" w:rsidRPr="00D16CA5" w:rsidRDefault="003E7D17" w:rsidP="00FF4839">
      <w:pPr>
        <w:rPr>
          <w:sz w:val="22"/>
        </w:rPr>
      </w:pPr>
    </w:p>
    <w:p w:rsidR="00FF4839" w:rsidRPr="00D16CA5" w:rsidRDefault="00FF4839" w:rsidP="00FF4839">
      <w:pPr>
        <w:rPr>
          <w:sz w:val="22"/>
        </w:rPr>
      </w:pPr>
      <w:r w:rsidRPr="00D16CA5">
        <w:rPr>
          <w:sz w:val="22"/>
        </w:rPr>
        <w:t xml:space="preserve">The Information Commissioners office (ICO) has produced a 12 point guide to complying with the regulation. </w:t>
      </w:r>
    </w:p>
    <w:p w:rsidR="00FF4839" w:rsidRPr="00D16CA5" w:rsidRDefault="00FF4839" w:rsidP="00FF4839">
      <w:pPr>
        <w:pStyle w:val="NormalBody"/>
        <w:rPr>
          <w:sz w:val="22"/>
        </w:rPr>
      </w:pPr>
    </w:p>
    <w:p w:rsidR="00FF4839" w:rsidRPr="00D16CA5" w:rsidRDefault="00AC6FA0" w:rsidP="00FF4839">
      <w:pPr>
        <w:rPr>
          <w:sz w:val="22"/>
        </w:rPr>
      </w:pPr>
      <w:r w:rsidRPr="00D16CA5">
        <w:rPr>
          <w:sz w:val="22"/>
        </w:rPr>
        <w:t>While</w:t>
      </w:r>
      <w:r w:rsidR="00FF4839" w:rsidRPr="00D16CA5">
        <w:rPr>
          <w:sz w:val="22"/>
        </w:rPr>
        <w:t xml:space="preserve"> compliance may seem daunting much of the work described in the guide has already been carried out as part of </w:t>
      </w:r>
      <w:r w:rsidR="00B00554" w:rsidRPr="00D16CA5">
        <w:rPr>
          <w:sz w:val="22"/>
        </w:rPr>
        <w:t>y</w:t>
      </w:r>
      <w:r w:rsidR="00FF4839" w:rsidRPr="00D16CA5">
        <w:rPr>
          <w:sz w:val="22"/>
        </w:rPr>
        <w:t xml:space="preserve">our obligations within the NHS, particularly </w:t>
      </w:r>
      <w:r w:rsidR="00B00554" w:rsidRPr="00D16CA5">
        <w:rPr>
          <w:sz w:val="22"/>
        </w:rPr>
        <w:t>y</w:t>
      </w:r>
      <w:r w:rsidR="00FF4839" w:rsidRPr="00D16CA5">
        <w:rPr>
          <w:sz w:val="22"/>
        </w:rPr>
        <w:t>our obligations within the IG Toolkit.</w:t>
      </w:r>
    </w:p>
    <w:p w:rsidR="00FF4839" w:rsidRPr="00D16CA5" w:rsidRDefault="00FF4839" w:rsidP="00FF4839">
      <w:pPr>
        <w:pStyle w:val="NormalBody"/>
        <w:rPr>
          <w:sz w:val="22"/>
        </w:rPr>
      </w:pPr>
    </w:p>
    <w:p w:rsidR="00FF4839" w:rsidRDefault="00FF4839" w:rsidP="00FF4839">
      <w:pPr>
        <w:rPr>
          <w:sz w:val="22"/>
        </w:rPr>
      </w:pPr>
      <w:r w:rsidRPr="00D16CA5">
        <w:rPr>
          <w:sz w:val="22"/>
        </w:rPr>
        <w:t xml:space="preserve">This document will go through the 12 preparation points one by one to give a current appraisal of where </w:t>
      </w:r>
      <w:r w:rsidR="00B00554" w:rsidRPr="00D16CA5">
        <w:rPr>
          <w:sz w:val="22"/>
        </w:rPr>
        <w:t>your Practice is likely to be</w:t>
      </w:r>
      <w:r w:rsidRPr="00D16CA5">
        <w:rPr>
          <w:sz w:val="22"/>
        </w:rPr>
        <w:t xml:space="preserve"> at the moment.</w:t>
      </w:r>
    </w:p>
    <w:p w:rsidR="00BE3C38" w:rsidRDefault="00BE3C38" w:rsidP="00563C12">
      <w:pPr>
        <w:pStyle w:val="NormalBody"/>
      </w:pPr>
    </w:p>
    <w:p w:rsidR="00BE3C38" w:rsidRDefault="00BE3C38">
      <w:pPr>
        <w:rPr>
          <w:sz w:val="22"/>
        </w:rPr>
      </w:pPr>
      <w:r w:rsidRPr="00563C12">
        <w:rPr>
          <w:sz w:val="22"/>
        </w:rPr>
        <w:t>Further guidance will be provided as further clarification becomes available from the Information Governance Association, the Information Commissioners Office and the Government.</w:t>
      </w:r>
    </w:p>
    <w:p w:rsidR="00BA0415" w:rsidRDefault="00BA0415" w:rsidP="00BA0415">
      <w:pPr>
        <w:pStyle w:val="NormalBody"/>
      </w:pPr>
    </w:p>
    <w:p w:rsidR="00BA0415" w:rsidRPr="00B57700" w:rsidRDefault="00BA0415" w:rsidP="00BA0415">
      <w:pPr>
        <w:rPr>
          <w:sz w:val="22"/>
        </w:rPr>
      </w:pPr>
      <w:r w:rsidRPr="00B57700">
        <w:rPr>
          <w:sz w:val="22"/>
        </w:rPr>
        <w:t xml:space="preserve">The contract that is in place between NHS England </w:t>
      </w:r>
      <w:r w:rsidR="00666CD8" w:rsidRPr="00B57700">
        <w:rPr>
          <w:sz w:val="22"/>
        </w:rPr>
        <w:t>and CSU</w:t>
      </w:r>
      <w:r w:rsidR="004A6DB5">
        <w:rPr>
          <w:sz w:val="22"/>
        </w:rPr>
        <w:t xml:space="preserve">s </w:t>
      </w:r>
      <w:r w:rsidRPr="00B57700">
        <w:rPr>
          <w:sz w:val="22"/>
        </w:rPr>
        <w:t>is to provide IG Support at a specific level to Independent Contractors.  It does not include specific support for the implementation of GDPR.</w:t>
      </w:r>
    </w:p>
    <w:p w:rsidR="00BA0415" w:rsidRPr="00B57700" w:rsidRDefault="00BA0415" w:rsidP="00BA0415">
      <w:pPr>
        <w:pStyle w:val="NormalBody"/>
        <w:rPr>
          <w:sz w:val="22"/>
        </w:rPr>
      </w:pPr>
    </w:p>
    <w:p w:rsidR="00BA0415" w:rsidRPr="00B57700" w:rsidRDefault="00BA0415" w:rsidP="00BA0415">
      <w:pPr>
        <w:rPr>
          <w:sz w:val="22"/>
        </w:rPr>
      </w:pPr>
      <w:r w:rsidRPr="00B57700">
        <w:rPr>
          <w:sz w:val="22"/>
        </w:rPr>
        <w:t>SCW CSU would be happy to provide a service catalogue which would offer additional levels of support to individual GP practices at an agreed additional cost</w:t>
      </w:r>
      <w:r w:rsidR="00B57700">
        <w:rPr>
          <w:sz w:val="22"/>
        </w:rPr>
        <w:t>.</w:t>
      </w:r>
    </w:p>
    <w:p w:rsidR="00FF4839" w:rsidRPr="00D16CA5" w:rsidRDefault="00FF4839" w:rsidP="00FF4839"/>
    <w:p w:rsidR="00FF4839" w:rsidRPr="00D16CA5" w:rsidRDefault="00FF4839" w:rsidP="00FF4839">
      <w:pPr>
        <w:sectPr w:rsidR="00FF4839" w:rsidRPr="00D16CA5" w:rsidSect="00023C23">
          <w:footerReference w:type="default" r:id="rId11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F4839" w:rsidRPr="00D16CA5" w:rsidRDefault="00FF4839" w:rsidP="00FF4839">
      <w:r w:rsidRPr="00D16CA5">
        <w:rPr>
          <w:noProof/>
          <w:lang w:eastAsia="en-GB"/>
        </w:rPr>
        <w:lastRenderedPageBreak/>
        <w:drawing>
          <wp:inline distT="0" distB="0" distL="0" distR="0" wp14:anchorId="5D92D646" wp14:editId="653326A6">
            <wp:extent cx="8977023" cy="57010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685" cy="570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839" w:rsidRPr="00D16CA5" w:rsidRDefault="00FF4839" w:rsidP="00FF4839">
      <w:pPr>
        <w:sectPr w:rsidR="00FF4839" w:rsidRPr="00D16CA5" w:rsidSect="00FF4839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41531" w:rsidRPr="00D16CA5" w:rsidRDefault="00641531" w:rsidP="00D16CA5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/>
          <w:bCs/>
        </w:rPr>
      </w:pPr>
      <w:r w:rsidRPr="00D16CA5">
        <w:rPr>
          <w:rFonts w:asciiTheme="majorHAnsi" w:hAnsiTheme="majorHAnsi"/>
          <w:b/>
          <w:bCs/>
        </w:rPr>
        <w:lastRenderedPageBreak/>
        <w:t xml:space="preserve">Awareness - </w:t>
      </w:r>
      <w:r w:rsidR="00B00554" w:rsidRPr="00D16CA5">
        <w:rPr>
          <w:rFonts w:asciiTheme="majorHAnsi" w:hAnsiTheme="majorHAnsi"/>
          <w:b/>
          <w:bCs/>
          <w:color w:val="E46C0A"/>
        </w:rPr>
        <w:t>PARTIALLY COMPLIANT</w:t>
      </w:r>
    </w:p>
    <w:p w:rsidR="00641531" w:rsidRPr="00D16CA5" w:rsidRDefault="00641531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641531" w:rsidRPr="00F12DCF" w:rsidRDefault="00316972" w:rsidP="00D16CA5">
      <w:pPr>
        <w:pStyle w:val="ListParagraph"/>
        <w:spacing w:after="0" w:line="240" w:lineRule="auto"/>
        <w:rPr>
          <w:rFonts w:ascii="Calibri" w:hAnsi="Calibri"/>
        </w:rPr>
      </w:pPr>
      <w:r w:rsidRPr="00F12DCF">
        <w:rPr>
          <w:rFonts w:ascii="Calibri" w:hAnsi="Calibri"/>
        </w:rPr>
        <w:t xml:space="preserve">A </w:t>
      </w:r>
      <w:r w:rsidR="00B00554" w:rsidRPr="00F12DCF">
        <w:rPr>
          <w:rFonts w:ascii="Calibri" w:hAnsi="Calibri"/>
        </w:rPr>
        <w:t>GDPR communication</w:t>
      </w:r>
      <w:r w:rsidRPr="00F12DCF">
        <w:rPr>
          <w:rFonts w:ascii="Calibri" w:hAnsi="Calibri"/>
        </w:rPr>
        <w:t xml:space="preserve"> was included</w:t>
      </w:r>
      <w:r w:rsidR="00B00554" w:rsidRPr="00F12DCF">
        <w:rPr>
          <w:rFonts w:ascii="Calibri" w:hAnsi="Calibri"/>
        </w:rPr>
        <w:t xml:space="preserve"> in the recent </w:t>
      </w:r>
      <w:r w:rsidR="00195061" w:rsidRPr="00F12DCF">
        <w:rPr>
          <w:rFonts w:ascii="Calibri" w:hAnsi="Calibri"/>
        </w:rPr>
        <w:t xml:space="preserve">Wire </w:t>
      </w:r>
      <w:r w:rsidR="00B00554" w:rsidRPr="00F12DCF">
        <w:rPr>
          <w:rFonts w:ascii="Calibri" w:hAnsi="Calibri"/>
        </w:rPr>
        <w:t>newsletter</w:t>
      </w:r>
      <w:r w:rsidR="00641531" w:rsidRPr="00F12DCF">
        <w:rPr>
          <w:rFonts w:ascii="Calibri" w:hAnsi="Calibri"/>
        </w:rPr>
        <w:t xml:space="preserve"> </w:t>
      </w:r>
      <w:r w:rsidRPr="00F12DCF">
        <w:rPr>
          <w:rFonts w:ascii="Calibri" w:hAnsi="Calibri"/>
        </w:rPr>
        <w:t>to make you</w:t>
      </w:r>
      <w:r w:rsidR="00B00554" w:rsidRPr="00F12DCF">
        <w:rPr>
          <w:rFonts w:ascii="Calibri" w:hAnsi="Calibri"/>
        </w:rPr>
        <w:t xml:space="preserve"> </w:t>
      </w:r>
      <w:r w:rsidR="00641531" w:rsidRPr="00F12DCF">
        <w:rPr>
          <w:rFonts w:ascii="Calibri" w:hAnsi="Calibri"/>
        </w:rPr>
        <w:t>aware of the regulation change.</w:t>
      </w:r>
      <w:r w:rsidR="00237E72">
        <w:rPr>
          <w:rFonts w:ascii="Calibri" w:hAnsi="Calibri"/>
        </w:rPr>
        <w:t xml:space="preserve">  Further communications will be coming out from SCW providing </w:t>
      </w:r>
      <w:r w:rsidR="00A34168">
        <w:rPr>
          <w:rFonts w:ascii="Calibri" w:hAnsi="Calibri"/>
        </w:rPr>
        <w:t xml:space="preserve">additional GDPR </w:t>
      </w:r>
      <w:r w:rsidR="00237E72">
        <w:rPr>
          <w:rFonts w:ascii="Calibri" w:hAnsi="Calibri"/>
        </w:rPr>
        <w:t xml:space="preserve">updates.  </w:t>
      </w:r>
      <w:r w:rsidR="00641531" w:rsidRPr="00F12DCF">
        <w:rPr>
          <w:rFonts w:ascii="Calibri" w:hAnsi="Calibri"/>
        </w:rPr>
        <w:t xml:space="preserve"> This document is to </w:t>
      </w:r>
      <w:r w:rsidR="0073450E" w:rsidRPr="00F12DCF">
        <w:rPr>
          <w:rFonts w:ascii="Calibri" w:hAnsi="Calibri"/>
        </w:rPr>
        <w:t>help you raise awareness with</w:t>
      </w:r>
      <w:r w:rsidR="00641531" w:rsidRPr="00F12DCF">
        <w:rPr>
          <w:rFonts w:ascii="Calibri" w:hAnsi="Calibri"/>
        </w:rPr>
        <w:t xml:space="preserve"> the </w:t>
      </w:r>
      <w:r w:rsidR="004329F8">
        <w:rPr>
          <w:rFonts w:ascii="Calibri" w:hAnsi="Calibri"/>
        </w:rPr>
        <w:t>p</w:t>
      </w:r>
      <w:r w:rsidR="00195061" w:rsidRPr="00F12DCF">
        <w:rPr>
          <w:rFonts w:ascii="Calibri" w:hAnsi="Calibri"/>
        </w:rPr>
        <w:t xml:space="preserve">ractice partners/senior managers </w:t>
      </w:r>
      <w:r w:rsidR="00641531" w:rsidRPr="00F12DCF">
        <w:rPr>
          <w:rFonts w:ascii="Calibri" w:hAnsi="Calibri"/>
        </w:rPr>
        <w:t>that this is happening.</w:t>
      </w:r>
    </w:p>
    <w:p w:rsidR="00641531" w:rsidRPr="00D16CA5" w:rsidRDefault="00641531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4329F8" w:rsidRDefault="00641531" w:rsidP="00D16CA5">
      <w:pPr>
        <w:pStyle w:val="ListParagraph"/>
        <w:spacing w:after="0" w:line="240" w:lineRule="auto"/>
        <w:rPr>
          <w:rFonts w:asciiTheme="majorHAnsi" w:hAnsiTheme="majorHAnsi"/>
        </w:rPr>
      </w:pPr>
      <w:r w:rsidRPr="00D16CA5">
        <w:rPr>
          <w:rFonts w:asciiTheme="majorHAnsi" w:hAnsiTheme="majorHAnsi"/>
        </w:rPr>
        <w:t>GDPR affects all parts of the public and private sector</w:t>
      </w:r>
      <w:r w:rsidRPr="004329F8">
        <w:rPr>
          <w:rFonts w:asciiTheme="majorHAnsi" w:hAnsiTheme="majorHAnsi"/>
        </w:rPr>
        <w:t>.</w:t>
      </w:r>
      <w:r w:rsidR="004329F8" w:rsidRPr="004329F8">
        <w:rPr>
          <w:rFonts w:asciiTheme="majorHAnsi" w:hAnsiTheme="majorHAnsi"/>
        </w:rPr>
        <w:t xml:space="preserve">  </w:t>
      </w:r>
      <w:r w:rsidR="004329F8">
        <w:rPr>
          <w:rFonts w:asciiTheme="majorHAnsi" w:hAnsiTheme="majorHAnsi"/>
        </w:rPr>
        <w:t>As a data controller, your practice will be accountable under GDPR and you will need to be able to evidence compliance.</w:t>
      </w:r>
    </w:p>
    <w:p w:rsidR="00641531" w:rsidRPr="00D16CA5" w:rsidRDefault="00641531" w:rsidP="00563C12"/>
    <w:p w:rsidR="00641531" w:rsidRPr="00D16CA5" w:rsidRDefault="00641531" w:rsidP="00D16CA5">
      <w:pPr>
        <w:pStyle w:val="ListParagraph"/>
        <w:spacing w:after="0" w:line="240" w:lineRule="auto"/>
        <w:rPr>
          <w:rFonts w:asciiTheme="majorHAnsi" w:hAnsiTheme="majorHAnsi"/>
          <w:i/>
          <w:iCs/>
        </w:rPr>
      </w:pPr>
      <w:r w:rsidRPr="00D16CA5">
        <w:rPr>
          <w:rFonts w:asciiTheme="majorHAnsi" w:hAnsiTheme="majorHAnsi"/>
          <w:i/>
          <w:iCs/>
        </w:rPr>
        <w:t xml:space="preserve">Further action: </w:t>
      </w:r>
      <w:r w:rsidR="00195061" w:rsidRPr="00D16CA5">
        <w:rPr>
          <w:rFonts w:asciiTheme="majorHAnsi" w:hAnsiTheme="majorHAnsi"/>
          <w:i/>
          <w:iCs/>
        </w:rPr>
        <w:t xml:space="preserve"> Discuss </w:t>
      </w:r>
      <w:r w:rsidR="00995F67" w:rsidRPr="00D16CA5">
        <w:rPr>
          <w:rFonts w:asciiTheme="majorHAnsi" w:hAnsiTheme="majorHAnsi"/>
          <w:i/>
          <w:iCs/>
        </w:rPr>
        <w:t xml:space="preserve">GDPR </w:t>
      </w:r>
      <w:r w:rsidR="00195061" w:rsidRPr="00D16CA5">
        <w:rPr>
          <w:rFonts w:asciiTheme="majorHAnsi" w:hAnsiTheme="majorHAnsi"/>
          <w:i/>
          <w:iCs/>
        </w:rPr>
        <w:t>with your Cal</w:t>
      </w:r>
      <w:r w:rsidR="003E7D17" w:rsidRPr="00D16CA5">
        <w:rPr>
          <w:rFonts w:asciiTheme="majorHAnsi" w:hAnsiTheme="majorHAnsi"/>
          <w:i/>
          <w:iCs/>
        </w:rPr>
        <w:t>di</w:t>
      </w:r>
      <w:r w:rsidR="00195061" w:rsidRPr="00D16CA5">
        <w:rPr>
          <w:rFonts w:asciiTheme="majorHAnsi" w:hAnsiTheme="majorHAnsi"/>
          <w:i/>
          <w:iCs/>
        </w:rPr>
        <w:t xml:space="preserve">cott Guardian and add to the agenda of your next Practice </w:t>
      </w:r>
      <w:r w:rsidR="00F12DCF">
        <w:rPr>
          <w:rFonts w:asciiTheme="majorHAnsi" w:hAnsiTheme="majorHAnsi"/>
          <w:i/>
          <w:iCs/>
        </w:rPr>
        <w:t>S</w:t>
      </w:r>
      <w:r w:rsidR="00195061" w:rsidRPr="00D16CA5">
        <w:rPr>
          <w:rFonts w:asciiTheme="majorHAnsi" w:hAnsiTheme="majorHAnsi"/>
          <w:i/>
          <w:iCs/>
        </w:rPr>
        <w:t xml:space="preserve">enior </w:t>
      </w:r>
      <w:r w:rsidR="00F12DCF">
        <w:rPr>
          <w:rFonts w:asciiTheme="majorHAnsi" w:hAnsiTheme="majorHAnsi"/>
          <w:i/>
          <w:iCs/>
        </w:rPr>
        <w:t>M</w:t>
      </w:r>
      <w:r w:rsidR="00195061" w:rsidRPr="00D16CA5">
        <w:rPr>
          <w:rFonts w:asciiTheme="majorHAnsi" w:hAnsiTheme="majorHAnsi"/>
          <w:i/>
          <w:iCs/>
        </w:rPr>
        <w:t>anagers meeting</w:t>
      </w:r>
      <w:r w:rsidR="004329F8">
        <w:rPr>
          <w:rFonts w:asciiTheme="majorHAnsi" w:hAnsiTheme="majorHAnsi"/>
          <w:i/>
          <w:iCs/>
        </w:rPr>
        <w:t xml:space="preserve"> to </w:t>
      </w:r>
      <w:r w:rsidR="004329F8" w:rsidRPr="004329F8">
        <w:rPr>
          <w:rFonts w:asciiTheme="majorHAnsi" w:hAnsiTheme="majorHAnsi"/>
          <w:i/>
          <w:iCs/>
        </w:rPr>
        <w:t>e</w:t>
      </w:r>
      <w:r w:rsidR="004329F8" w:rsidRPr="00563C12">
        <w:rPr>
          <w:rFonts w:asciiTheme="majorHAnsi" w:hAnsiTheme="majorHAnsi"/>
          <w:i/>
        </w:rPr>
        <w:t>nsure that decision makers and key people in your organisation are aware that the law is changing to the GDPR.</w:t>
      </w:r>
    </w:p>
    <w:p w:rsidR="00FF4839" w:rsidRPr="00D16CA5" w:rsidRDefault="00FF4839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641531" w:rsidRPr="00D16CA5" w:rsidRDefault="00641531" w:rsidP="00D16CA5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/>
          <w:bCs/>
        </w:rPr>
      </w:pPr>
      <w:r w:rsidRPr="00D16CA5">
        <w:rPr>
          <w:rFonts w:asciiTheme="majorHAnsi" w:hAnsiTheme="majorHAnsi"/>
          <w:b/>
          <w:bCs/>
        </w:rPr>
        <w:t xml:space="preserve">Information you hold - </w:t>
      </w:r>
      <w:r w:rsidR="00195061" w:rsidRPr="00D16CA5">
        <w:rPr>
          <w:rFonts w:asciiTheme="majorHAnsi" w:hAnsiTheme="majorHAnsi"/>
          <w:b/>
          <w:bCs/>
          <w:color w:val="E46C0A"/>
        </w:rPr>
        <w:t>PARTIALLY COMPLIANT</w:t>
      </w:r>
    </w:p>
    <w:p w:rsidR="00641531" w:rsidRPr="00D16CA5" w:rsidRDefault="00641531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641531" w:rsidRPr="00F07D4D" w:rsidRDefault="00641531" w:rsidP="00F07D4D">
      <w:pPr>
        <w:pStyle w:val="ListParagraph"/>
        <w:spacing w:after="0" w:line="240" w:lineRule="auto"/>
        <w:rPr>
          <w:rFonts w:asciiTheme="majorHAnsi" w:hAnsiTheme="majorHAnsi"/>
        </w:rPr>
      </w:pPr>
      <w:r w:rsidRPr="00D16CA5">
        <w:rPr>
          <w:rFonts w:asciiTheme="majorHAnsi" w:hAnsiTheme="majorHAnsi"/>
        </w:rPr>
        <w:t xml:space="preserve">As part of completing the IG toolkit </w:t>
      </w:r>
      <w:r w:rsidR="00195061" w:rsidRPr="00D16CA5">
        <w:rPr>
          <w:rFonts w:asciiTheme="majorHAnsi" w:hAnsiTheme="majorHAnsi"/>
        </w:rPr>
        <w:t>your practice is</w:t>
      </w:r>
      <w:r w:rsidRPr="00D16CA5">
        <w:rPr>
          <w:rFonts w:asciiTheme="majorHAnsi" w:hAnsiTheme="majorHAnsi"/>
        </w:rPr>
        <w:t xml:space="preserve"> obliged to compile </w:t>
      </w:r>
      <w:r w:rsidR="00F07D4D" w:rsidRPr="00D16CA5">
        <w:rPr>
          <w:rFonts w:asciiTheme="majorHAnsi" w:hAnsiTheme="majorHAnsi"/>
        </w:rPr>
        <w:t>an</w:t>
      </w:r>
      <w:r w:rsidR="00F07D4D">
        <w:rPr>
          <w:rFonts w:asciiTheme="majorHAnsi" w:hAnsiTheme="majorHAnsi"/>
        </w:rPr>
        <w:t xml:space="preserve"> a</w:t>
      </w:r>
      <w:r w:rsidRPr="00D16CA5">
        <w:rPr>
          <w:rFonts w:asciiTheme="majorHAnsi" w:hAnsiTheme="majorHAnsi"/>
        </w:rPr>
        <w:t xml:space="preserve">sset </w:t>
      </w:r>
      <w:r w:rsidR="00F07D4D">
        <w:rPr>
          <w:rFonts w:asciiTheme="majorHAnsi" w:hAnsiTheme="majorHAnsi"/>
        </w:rPr>
        <w:t>r</w:t>
      </w:r>
      <w:r w:rsidRPr="00D16CA5">
        <w:rPr>
          <w:rFonts w:asciiTheme="majorHAnsi" w:hAnsiTheme="majorHAnsi"/>
        </w:rPr>
        <w:t xml:space="preserve">egister and complete a list of data flows. </w:t>
      </w:r>
      <w:r w:rsidRPr="00F07D4D">
        <w:rPr>
          <w:rFonts w:asciiTheme="majorHAnsi" w:hAnsiTheme="majorHAnsi"/>
        </w:rPr>
        <w:t xml:space="preserve">The </w:t>
      </w:r>
      <w:r w:rsidR="00F07D4D">
        <w:rPr>
          <w:rFonts w:asciiTheme="majorHAnsi" w:hAnsiTheme="majorHAnsi"/>
        </w:rPr>
        <w:t>a</w:t>
      </w:r>
      <w:r w:rsidRPr="00F07D4D">
        <w:rPr>
          <w:rFonts w:asciiTheme="majorHAnsi" w:hAnsiTheme="majorHAnsi"/>
        </w:rPr>
        <w:t xml:space="preserve">sset </w:t>
      </w:r>
      <w:r w:rsidR="00F07D4D">
        <w:rPr>
          <w:rFonts w:asciiTheme="majorHAnsi" w:hAnsiTheme="majorHAnsi"/>
        </w:rPr>
        <w:t>r</w:t>
      </w:r>
      <w:r w:rsidRPr="00F07D4D">
        <w:rPr>
          <w:rFonts w:asciiTheme="majorHAnsi" w:hAnsiTheme="majorHAnsi"/>
        </w:rPr>
        <w:t>egister details where data is held and who takes responsibility for it.</w:t>
      </w:r>
      <w:r w:rsidR="00F07D4D" w:rsidRPr="00F07D4D">
        <w:rPr>
          <w:rFonts w:asciiTheme="majorHAnsi" w:hAnsiTheme="majorHAnsi"/>
        </w:rPr>
        <w:t xml:space="preserve"> </w:t>
      </w:r>
      <w:r w:rsidRPr="00F07D4D">
        <w:rPr>
          <w:rFonts w:asciiTheme="majorHAnsi" w:hAnsiTheme="majorHAnsi"/>
        </w:rPr>
        <w:t xml:space="preserve">The data flows </w:t>
      </w:r>
      <w:r w:rsidR="00F07D4D">
        <w:rPr>
          <w:rFonts w:asciiTheme="majorHAnsi" w:hAnsiTheme="majorHAnsi"/>
        </w:rPr>
        <w:t xml:space="preserve">should </w:t>
      </w:r>
      <w:r w:rsidRPr="00F07D4D">
        <w:rPr>
          <w:rFonts w:asciiTheme="majorHAnsi" w:hAnsiTheme="majorHAnsi"/>
        </w:rPr>
        <w:t xml:space="preserve">detail where data is coming from </w:t>
      </w:r>
      <w:r w:rsidR="00F37AD2">
        <w:rPr>
          <w:rFonts w:asciiTheme="majorHAnsi" w:hAnsiTheme="majorHAnsi"/>
        </w:rPr>
        <w:t>/</w:t>
      </w:r>
      <w:r w:rsidRPr="00F07D4D">
        <w:rPr>
          <w:rFonts w:asciiTheme="majorHAnsi" w:hAnsiTheme="majorHAnsi"/>
        </w:rPr>
        <w:t xml:space="preserve"> going to</w:t>
      </w:r>
      <w:r w:rsidR="00F07D4D">
        <w:rPr>
          <w:rFonts w:asciiTheme="majorHAnsi" w:hAnsiTheme="majorHAnsi"/>
        </w:rPr>
        <w:t xml:space="preserve"> and</w:t>
      </w:r>
      <w:r w:rsidR="00F07D4D" w:rsidRPr="00F07D4D">
        <w:rPr>
          <w:rFonts w:asciiTheme="majorHAnsi" w:hAnsiTheme="majorHAnsi"/>
        </w:rPr>
        <w:t xml:space="preserve"> will </w:t>
      </w:r>
      <w:r w:rsidR="00F07D4D">
        <w:rPr>
          <w:rFonts w:asciiTheme="majorHAnsi" w:hAnsiTheme="majorHAnsi"/>
        </w:rPr>
        <w:t xml:space="preserve">also now </w:t>
      </w:r>
      <w:r w:rsidR="00F07D4D" w:rsidRPr="00F07D4D">
        <w:rPr>
          <w:rFonts w:asciiTheme="majorHAnsi" w:hAnsiTheme="majorHAnsi"/>
        </w:rPr>
        <w:t>need to reflect</w:t>
      </w:r>
      <w:r w:rsidRPr="00F07D4D">
        <w:rPr>
          <w:rFonts w:asciiTheme="majorHAnsi" w:hAnsiTheme="majorHAnsi"/>
        </w:rPr>
        <w:t xml:space="preserve"> the legal basis for sharing</w:t>
      </w:r>
      <w:r w:rsidR="00237E72">
        <w:rPr>
          <w:rFonts w:asciiTheme="majorHAnsi" w:hAnsiTheme="majorHAnsi"/>
        </w:rPr>
        <w:t xml:space="preserve"> and details of the data processor</w:t>
      </w:r>
      <w:r w:rsidR="00690731">
        <w:rPr>
          <w:rFonts w:asciiTheme="majorHAnsi" w:hAnsiTheme="majorHAnsi"/>
        </w:rPr>
        <w:t>.</w:t>
      </w:r>
    </w:p>
    <w:p w:rsidR="00641531" w:rsidRPr="00D16CA5" w:rsidRDefault="00641531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641531" w:rsidRPr="00D16CA5" w:rsidRDefault="00641531" w:rsidP="00D16CA5">
      <w:pPr>
        <w:pStyle w:val="ListParagraph"/>
        <w:spacing w:after="0" w:line="240" w:lineRule="auto"/>
        <w:rPr>
          <w:rFonts w:asciiTheme="majorHAnsi" w:hAnsiTheme="majorHAnsi"/>
        </w:rPr>
      </w:pPr>
      <w:r w:rsidRPr="00D16CA5">
        <w:rPr>
          <w:rFonts w:asciiTheme="majorHAnsi" w:hAnsiTheme="majorHAnsi"/>
          <w:i/>
          <w:iCs/>
        </w:rPr>
        <w:t xml:space="preserve">Further action: </w:t>
      </w:r>
      <w:r w:rsidR="00195061" w:rsidRPr="00D16CA5">
        <w:rPr>
          <w:rFonts w:asciiTheme="majorHAnsi" w:hAnsiTheme="majorHAnsi"/>
          <w:i/>
          <w:iCs/>
        </w:rPr>
        <w:t xml:space="preserve"> Asset register and data flows should be reviewed</w:t>
      </w:r>
      <w:r w:rsidR="003E7D17" w:rsidRPr="00D16CA5">
        <w:rPr>
          <w:rFonts w:asciiTheme="majorHAnsi" w:hAnsiTheme="majorHAnsi"/>
          <w:i/>
          <w:iCs/>
        </w:rPr>
        <w:t xml:space="preserve"> </w:t>
      </w:r>
      <w:r w:rsidRPr="00D16CA5">
        <w:rPr>
          <w:rFonts w:asciiTheme="majorHAnsi" w:hAnsiTheme="majorHAnsi"/>
          <w:i/>
          <w:iCs/>
        </w:rPr>
        <w:t>to ensure that these are both up to date</w:t>
      </w:r>
      <w:r w:rsidR="00A82730" w:rsidRPr="00D16CA5">
        <w:rPr>
          <w:rFonts w:asciiTheme="majorHAnsi" w:hAnsiTheme="majorHAnsi"/>
          <w:i/>
          <w:iCs/>
        </w:rPr>
        <w:t xml:space="preserve"> (SCW will provide guidance on how to do this)</w:t>
      </w:r>
      <w:r w:rsidRPr="00D16CA5">
        <w:rPr>
          <w:rFonts w:asciiTheme="majorHAnsi" w:hAnsiTheme="majorHAnsi"/>
          <w:i/>
          <w:iCs/>
        </w:rPr>
        <w:t>.</w:t>
      </w:r>
    </w:p>
    <w:p w:rsidR="00FF4839" w:rsidRPr="00D16CA5" w:rsidRDefault="00FF4839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641531" w:rsidRPr="00D16CA5" w:rsidRDefault="00641531" w:rsidP="00D16CA5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/>
          <w:bCs/>
        </w:rPr>
      </w:pPr>
      <w:r w:rsidRPr="00D16CA5">
        <w:rPr>
          <w:rFonts w:asciiTheme="majorHAnsi" w:hAnsiTheme="majorHAnsi"/>
          <w:b/>
          <w:bCs/>
        </w:rPr>
        <w:t xml:space="preserve">Communicating Privacy Information – </w:t>
      </w:r>
      <w:r w:rsidRPr="00D16CA5">
        <w:rPr>
          <w:rFonts w:asciiTheme="majorHAnsi" w:hAnsiTheme="majorHAnsi"/>
          <w:b/>
          <w:bCs/>
          <w:color w:val="E46C0A"/>
        </w:rPr>
        <w:t>PARTIALLY COMPLIANT</w:t>
      </w:r>
    </w:p>
    <w:p w:rsidR="00641531" w:rsidRPr="00D16CA5" w:rsidRDefault="00641531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641531" w:rsidRPr="00D16CA5" w:rsidRDefault="00195061" w:rsidP="00D16CA5">
      <w:pPr>
        <w:pStyle w:val="ListParagraph"/>
        <w:spacing w:after="0" w:line="240" w:lineRule="auto"/>
        <w:rPr>
          <w:rFonts w:asciiTheme="majorHAnsi" w:hAnsiTheme="majorHAnsi"/>
        </w:rPr>
      </w:pPr>
      <w:r w:rsidRPr="00D16CA5">
        <w:rPr>
          <w:rFonts w:asciiTheme="majorHAnsi" w:hAnsiTheme="majorHAnsi"/>
        </w:rPr>
        <w:t>Your practice</w:t>
      </w:r>
      <w:r w:rsidR="00641531" w:rsidRPr="00D16CA5">
        <w:rPr>
          <w:rFonts w:asciiTheme="majorHAnsi" w:hAnsiTheme="majorHAnsi"/>
        </w:rPr>
        <w:t xml:space="preserve"> already publish</w:t>
      </w:r>
      <w:r w:rsidRPr="00D16CA5">
        <w:rPr>
          <w:rFonts w:asciiTheme="majorHAnsi" w:hAnsiTheme="majorHAnsi"/>
        </w:rPr>
        <w:t>es</w:t>
      </w:r>
      <w:r w:rsidR="00641531" w:rsidRPr="00D16CA5">
        <w:rPr>
          <w:rFonts w:asciiTheme="majorHAnsi" w:hAnsiTheme="majorHAnsi"/>
        </w:rPr>
        <w:t xml:space="preserve"> a Fair Processing Notice</w:t>
      </w:r>
      <w:r w:rsidR="00F07D4D">
        <w:rPr>
          <w:rFonts w:asciiTheme="majorHAnsi" w:hAnsiTheme="majorHAnsi"/>
        </w:rPr>
        <w:t xml:space="preserve">/Privacy Notice </w:t>
      </w:r>
      <w:r w:rsidR="00641531" w:rsidRPr="00D16CA5">
        <w:rPr>
          <w:rFonts w:asciiTheme="majorHAnsi" w:hAnsiTheme="majorHAnsi"/>
        </w:rPr>
        <w:t xml:space="preserve">which details what </w:t>
      </w:r>
      <w:r w:rsidRPr="00D16CA5">
        <w:rPr>
          <w:rFonts w:asciiTheme="majorHAnsi" w:hAnsiTheme="majorHAnsi"/>
        </w:rPr>
        <w:t>your</w:t>
      </w:r>
      <w:r w:rsidR="00641531" w:rsidRPr="00D16CA5">
        <w:rPr>
          <w:rFonts w:asciiTheme="majorHAnsi" w:hAnsiTheme="majorHAnsi"/>
        </w:rPr>
        <w:t xml:space="preserve"> organisation does with the personal data it holds.</w:t>
      </w:r>
    </w:p>
    <w:p w:rsidR="00641531" w:rsidRPr="00D16CA5" w:rsidRDefault="00641531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641531" w:rsidRPr="00D16CA5" w:rsidRDefault="00641531" w:rsidP="00D16CA5">
      <w:pPr>
        <w:pStyle w:val="ListParagraph"/>
        <w:spacing w:after="0" w:line="240" w:lineRule="auto"/>
        <w:rPr>
          <w:rFonts w:asciiTheme="majorHAnsi" w:hAnsiTheme="majorHAnsi"/>
        </w:rPr>
      </w:pPr>
      <w:r w:rsidRPr="00D16CA5">
        <w:rPr>
          <w:rFonts w:asciiTheme="majorHAnsi" w:hAnsiTheme="majorHAnsi"/>
        </w:rPr>
        <w:t>This may need to be “tweaked” to ensure it remains compliant.</w:t>
      </w:r>
    </w:p>
    <w:p w:rsidR="008D5852" w:rsidRPr="00D16CA5" w:rsidRDefault="008D5852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8D5852" w:rsidRPr="00D16CA5" w:rsidRDefault="008D5852" w:rsidP="00D16CA5">
      <w:pPr>
        <w:pStyle w:val="ListParagraph"/>
        <w:spacing w:after="0" w:line="240" w:lineRule="auto"/>
        <w:rPr>
          <w:rFonts w:asciiTheme="majorHAnsi" w:hAnsiTheme="majorHAnsi"/>
          <w:i/>
        </w:rPr>
      </w:pPr>
      <w:r w:rsidRPr="00D16CA5">
        <w:rPr>
          <w:rFonts w:asciiTheme="majorHAnsi" w:hAnsiTheme="majorHAnsi"/>
          <w:i/>
        </w:rPr>
        <w:t xml:space="preserve">Further action: </w:t>
      </w:r>
      <w:r w:rsidR="00195061" w:rsidRPr="00D16CA5">
        <w:rPr>
          <w:rFonts w:asciiTheme="majorHAnsi" w:hAnsiTheme="majorHAnsi"/>
          <w:i/>
        </w:rPr>
        <w:t xml:space="preserve"> Review and update your Privacy Notice</w:t>
      </w:r>
      <w:r w:rsidR="00A82730" w:rsidRPr="00D16CA5">
        <w:rPr>
          <w:rFonts w:asciiTheme="majorHAnsi" w:hAnsiTheme="majorHAnsi"/>
          <w:i/>
        </w:rPr>
        <w:t xml:space="preserve"> (SCW will provide an updated template)</w:t>
      </w:r>
      <w:r w:rsidR="00814F61" w:rsidRPr="00D16CA5">
        <w:rPr>
          <w:rFonts w:asciiTheme="majorHAnsi" w:hAnsiTheme="majorHAnsi"/>
          <w:i/>
        </w:rPr>
        <w:t xml:space="preserve">.  Ensure it is </w:t>
      </w:r>
      <w:r w:rsidR="00A82730" w:rsidRPr="00D16CA5">
        <w:rPr>
          <w:rFonts w:asciiTheme="majorHAnsi" w:hAnsiTheme="majorHAnsi"/>
          <w:i/>
        </w:rPr>
        <w:t xml:space="preserve">readily </w:t>
      </w:r>
      <w:r w:rsidR="00814F61" w:rsidRPr="00D16CA5">
        <w:rPr>
          <w:rFonts w:asciiTheme="majorHAnsi" w:hAnsiTheme="majorHAnsi"/>
          <w:i/>
        </w:rPr>
        <w:t xml:space="preserve">assessable </w:t>
      </w:r>
      <w:r w:rsidR="00A82730" w:rsidRPr="00D16CA5">
        <w:rPr>
          <w:rFonts w:asciiTheme="majorHAnsi" w:hAnsiTheme="majorHAnsi"/>
          <w:i/>
        </w:rPr>
        <w:t xml:space="preserve">to patients (e.g. </w:t>
      </w:r>
      <w:r w:rsidR="00814F61" w:rsidRPr="00D16CA5">
        <w:rPr>
          <w:rFonts w:asciiTheme="majorHAnsi" w:hAnsiTheme="majorHAnsi"/>
          <w:i/>
        </w:rPr>
        <w:t>from the homepage of your practice website</w:t>
      </w:r>
      <w:r w:rsidR="0073450E" w:rsidRPr="00D16CA5">
        <w:rPr>
          <w:rFonts w:asciiTheme="majorHAnsi" w:hAnsiTheme="majorHAnsi"/>
          <w:i/>
        </w:rPr>
        <w:t xml:space="preserve"> and </w:t>
      </w:r>
      <w:r w:rsidR="00F12DCF">
        <w:rPr>
          <w:rFonts w:asciiTheme="majorHAnsi" w:hAnsiTheme="majorHAnsi"/>
          <w:i/>
        </w:rPr>
        <w:t xml:space="preserve">via </w:t>
      </w:r>
      <w:r w:rsidR="0073450E" w:rsidRPr="00D16CA5">
        <w:rPr>
          <w:rFonts w:asciiTheme="majorHAnsi" w:hAnsiTheme="majorHAnsi"/>
          <w:i/>
        </w:rPr>
        <w:t>reception</w:t>
      </w:r>
      <w:r w:rsidR="00A82730" w:rsidRPr="00D16CA5">
        <w:rPr>
          <w:rFonts w:asciiTheme="majorHAnsi" w:hAnsiTheme="majorHAnsi"/>
          <w:i/>
        </w:rPr>
        <w:t>)</w:t>
      </w:r>
    </w:p>
    <w:p w:rsidR="00405E1E" w:rsidRDefault="00405E1E">
      <w:pPr>
        <w:rPr>
          <w:rFonts w:asciiTheme="majorHAnsi" w:eastAsiaTheme="minorHAnsi" w:hAnsiTheme="majorHAnsi" w:cstheme="minorBidi"/>
          <w:b/>
          <w:color w:val="auto"/>
          <w:sz w:val="22"/>
        </w:rPr>
      </w:pPr>
      <w:r>
        <w:rPr>
          <w:rFonts w:asciiTheme="majorHAnsi" w:hAnsiTheme="majorHAnsi"/>
          <w:b/>
        </w:rPr>
        <w:br w:type="page"/>
      </w:r>
    </w:p>
    <w:p w:rsidR="00FF4839" w:rsidRPr="00D16CA5" w:rsidRDefault="00FF4839" w:rsidP="00D16CA5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 w:rsidRPr="00D16CA5">
        <w:rPr>
          <w:rFonts w:asciiTheme="majorHAnsi" w:hAnsiTheme="majorHAnsi"/>
          <w:b/>
        </w:rPr>
        <w:t>Individuals’ rights</w:t>
      </w:r>
      <w:r w:rsidR="00641531" w:rsidRPr="00D16CA5">
        <w:rPr>
          <w:rFonts w:asciiTheme="majorHAnsi" w:hAnsiTheme="majorHAnsi"/>
          <w:b/>
        </w:rPr>
        <w:t xml:space="preserve"> - </w:t>
      </w:r>
      <w:r w:rsidR="00641531" w:rsidRPr="00D16CA5">
        <w:rPr>
          <w:rFonts w:asciiTheme="majorHAnsi" w:hAnsiTheme="majorHAnsi"/>
          <w:b/>
          <w:bCs/>
          <w:color w:val="E46C0A"/>
        </w:rPr>
        <w:t>PARTIALLY COMPLIANT</w:t>
      </w:r>
    </w:p>
    <w:p w:rsidR="00FF4839" w:rsidRPr="00D16CA5" w:rsidRDefault="00FF4839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FF4839" w:rsidRPr="00D16CA5" w:rsidRDefault="00FF4839" w:rsidP="00D16CA5">
      <w:pPr>
        <w:pStyle w:val="ListParagraph"/>
        <w:spacing w:after="0" w:line="240" w:lineRule="auto"/>
        <w:rPr>
          <w:rFonts w:asciiTheme="majorHAnsi" w:hAnsiTheme="majorHAnsi"/>
        </w:rPr>
      </w:pPr>
      <w:r w:rsidRPr="00D16CA5">
        <w:rPr>
          <w:rFonts w:asciiTheme="majorHAnsi" w:hAnsiTheme="majorHAnsi"/>
        </w:rPr>
        <w:t xml:space="preserve">Individuals’ rights are generally covered already as part of the present Data Protection regime. </w:t>
      </w:r>
    </w:p>
    <w:p w:rsidR="00FF4839" w:rsidRPr="00D16CA5" w:rsidRDefault="00FF4839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B06FAE" w:rsidRDefault="00FF4839" w:rsidP="00563C12">
      <w:pPr>
        <w:pStyle w:val="ListParagraph"/>
        <w:rPr>
          <w:rFonts w:asciiTheme="majorHAnsi" w:hAnsiTheme="majorHAnsi"/>
        </w:rPr>
      </w:pPr>
      <w:r w:rsidRPr="00D16CA5">
        <w:rPr>
          <w:rFonts w:asciiTheme="majorHAnsi" w:hAnsiTheme="majorHAnsi"/>
        </w:rPr>
        <w:t>Consent</w:t>
      </w:r>
      <w:r w:rsidR="00237E72">
        <w:rPr>
          <w:rFonts w:asciiTheme="majorHAnsi" w:hAnsiTheme="majorHAnsi"/>
        </w:rPr>
        <w:t xml:space="preserve">, </w:t>
      </w:r>
      <w:r w:rsidRPr="00D16CA5">
        <w:rPr>
          <w:rFonts w:asciiTheme="majorHAnsi" w:hAnsiTheme="majorHAnsi"/>
        </w:rPr>
        <w:t>the new “right to be forgotten”</w:t>
      </w:r>
      <w:r w:rsidR="00B0665B">
        <w:rPr>
          <w:rStyle w:val="FootnoteReference"/>
          <w:rFonts w:asciiTheme="majorHAnsi" w:hAnsiTheme="majorHAnsi"/>
        </w:rPr>
        <w:footnoteReference w:id="1"/>
      </w:r>
      <w:r w:rsidRPr="00D16CA5">
        <w:rPr>
          <w:rFonts w:asciiTheme="majorHAnsi" w:hAnsiTheme="majorHAnsi"/>
        </w:rPr>
        <w:t xml:space="preserve"> </w:t>
      </w:r>
      <w:r w:rsidR="00237E72">
        <w:rPr>
          <w:rFonts w:asciiTheme="majorHAnsi" w:hAnsiTheme="majorHAnsi"/>
        </w:rPr>
        <w:t>and data portability</w:t>
      </w:r>
      <w:r w:rsidR="00B0665B">
        <w:rPr>
          <w:rStyle w:val="FootnoteReference"/>
          <w:rFonts w:asciiTheme="majorHAnsi" w:hAnsiTheme="majorHAnsi"/>
        </w:rPr>
        <w:footnoteReference w:id="2"/>
      </w:r>
      <w:r w:rsidR="00237E72">
        <w:rPr>
          <w:rFonts w:asciiTheme="majorHAnsi" w:hAnsiTheme="majorHAnsi"/>
        </w:rPr>
        <w:t xml:space="preserve"> </w:t>
      </w:r>
      <w:r w:rsidR="00B06FAE">
        <w:rPr>
          <w:rFonts w:asciiTheme="majorHAnsi" w:hAnsiTheme="majorHAnsi"/>
        </w:rPr>
        <w:t>may be an issue and may have to be factored in.</w:t>
      </w:r>
    </w:p>
    <w:p w:rsidR="00B06FAE" w:rsidRDefault="00B06FAE" w:rsidP="00563C12">
      <w:pPr>
        <w:pStyle w:val="ListParagraph"/>
        <w:rPr>
          <w:rFonts w:asciiTheme="majorHAnsi" w:hAnsiTheme="majorHAnsi"/>
        </w:rPr>
      </w:pPr>
    </w:p>
    <w:p w:rsidR="00641531" w:rsidRPr="00563C12" w:rsidRDefault="00641531" w:rsidP="00563C12">
      <w:pPr>
        <w:pStyle w:val="ListParagraph"/>
        <w:rPr>
          <w:rFonts w:asciiTheme="majorHAnsi" w:hAnsiTheme="majorHAnsi"/>
          <w:i/>
        </w:rPr>
      </w:pPr>
      <w:r w:rsidRPr="00563C12">
        <w:rPr>
          <w:rFonts w:asciiTheme="majorHAnsi" w:hAnsiTheme="majorHAnsi"/>
          <w:i/>
        </w:rPr>
        <w:t xml:space="preserve">Further Action: </w:t>
      </w:r>
      <w:r w:rsidR="00195061" w:rsidRPr="00563C12">
        <w:rPr>
          <w:rFonts w:asciiTheme="majorHAnsi" w:hAnsiTheme="majorHAnsi"/>
          <w:i/>
        </w:rPr>
        <w:t xml:space="preserve"> </w:t>
      </w:r>
      <w:r w:rsidR="00471CE3" w:rsidRPr="00563C12">
        <w:rPr>
          <w:rFonts w:asciiTheme="majorHAnsi" w:hAnsiTheme="majorHAnsi"/>
          <w:i/>
        </w:rPr>
        <w:t>Further guidance regarding consent</w:t>
      </w:r>
      <w:r w:rsidR="00237E72" w:rsidRPr="00563C12">
        <w:rPr>
          <w:rFonts w:asciiTheme="majorHAnsi" w:hAnsiTheme="majorHAnsi"/>
          <w:i/>
        </w:rPr>
        <w:t xml:space="preserve">, the </w:t>
      </w:r>
      <w:r w:rsidR="00237E72" w:rsidRPr="00563C12">
        <w:rPr>
          <w:rFonts w:asciiTheme="majorHAnsi" w:hAnsiTheme="majorHAnsi"/>
        </w:rPr>
        <w:t>“</w:t>
      </w:r>
      <w:r w:rsidR="00237E72" w:rsidRPr="00563C12">
        <w:rPr>
          <w:rFonts w:asciiTheme="majorHAnsi" w:hAnsiTheme="majorHAnsi"/>
          <w:i/>
        </w:rPr>
        <w:t>right to be forgotten” and data portability</w:t>
      </w:r>
      <w:r w:rsidR="00471CE3" w:rsidRPr="00B06FAE">
        <w:rPr>
          <w:rFonts w:asciiTheme="majorHAnsi" w:hAnsiTheme="majorHAnsi"/>
          <w:i/>
        </w:rPr>
        <w:t xml:space="preserve"> is awaited.  </w:t>
      </w:r>
      <w:r w:rsidRPr="00563C12">
        <w:rPr>
          <w:rFonts w:asciiTheme="majorHAnsi" w:hAnsiTheme="majorHAnsi"/>
          <w:i/>
        </w:rPr>
        <w:t>Area</w:t>
      </w:r>
      <w:r w:rsidR="0073450E" w:rsidRPr="00563C12">
        <w:rPr>
          <w:rFonts w:asciiTheme="majorHAnsi" w:hAnsiTheme="majorHAnsi"/>
          <w:i/>
        </w:rPr>
        <w:t>s</w:t>
      </w:r>
      <w:r w:rsidRPr="00563C12">
        <w:rPr>
          <w:rFonts w:asciiTheme="majorHAnsi" w:hAnsiTheme="majorHAnsi"/>
          <w:i/>
        </w:rPr>
        <w:t xml:space="preserve"> where consent is used for processing need to be identified and checked to see whether they remain compliant</w:t>
      </w:r>
      <w:r w:rsidR="00F37AD2" w:rsidRPr="00563C12">
        <w:rPr>
          <w:rFonts w:asciiTheme="majorHAnsi" w:hAnsiTheme="majorHAnsi"/>
          <w:i/>
        </w:rPr>
        <w:t xml:space="preserve">.  </w:t>
      </w:r>
    </w:p>
    <w:p w:rsidR="00FF4839" w:rsidRPr="00D16CA5" w:rsidRDefault="00FF4839" w:rsidP="00D16CA5">
      <w:pPr>
        <w:rPr>
          <w:rFonts w:asciiTheme="majorHAnsi" w:hAnsiTheme="majorHAnsi"/>
          <w:sz w:val="22"/>
        </w:rPr>
      </w:pPr>
    </w:p>
    <w:p w:rsidR="00FF4839" w:rsidRPr="00D16CA5" w:rsidRDefault="00FF4839" w:rsidP="00D16CA5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 w:rsidRPr="00D16CA5">
        <w:rPr>
          <w:rFonts w:asciiTheme="majorHAnsi" w:hAnsiTheme="majorHAnsi"/>
          <w:b/>
        </w:rPr>
        <w:t>Subject Access Requests</w:t>
      </w:r>
      <w:r w:rsidR="00641531" w:rsidRPr="00D16CA5">
        <w:rPr>
          <w:rFonts w:asciiTheme="majorHAnsi" w:hAnsiTheme="majorHAnsi"/>
          <w:b/>
        </w:rPr>
        <w:t xml:space="preserve"> - </w:t>
      </w:r>
      <w:r w:rsidR="00641531" w:rsidRPr="00D16CA5">
        <w:rPr>
          <w:rFonts w:asciiTheme="majorHAnsi" w:hAnsiTheme="majorHAnsi"/>
          <w:b/>
          <w:bCs/>
          <w:color w:val="E46C0A"/>
        </w:rPr>
        <w:t>PARTIALLY COMPLIANT</w:t>
      </w:r>
    </w:p>
    <w:p w:rsidR="00FF4839" w:rsidRPr="00D16CA5" w:rsidRDefault="00FF4839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FF4839" w:rsidRPr="00D16CA5" w:rsidRDefault="00FF4839" w:rsidP="00D16CA5">
      <w:pPr>
        <w:pStyle w:val="ListParagraph"/>
        <w:spacing w:after="0" w:line="240" w:lineRule="auto"/>
        <w:rPr>
          <w:rFonts w:asciiTheme="majorHAnsi" w:hAnsiTheme="majorHAnsi"/>
        </w:rPr>
      </w:pPr>
      <w:r w:rsidRPr="00D16CA5">
        <w:rPr>
          <w:rFonts w:asciiTheme="majorHAnsi" w:hAnsiTheme="majorHAnsi"/>
        </w:rPr>
        <w:t xml:space="preserve">Subject Access </w:t>
      </w:r>
      <w:r w:rsidR="004F03A2" w:rsidRPr="00D16CA5">
        <w:rPr>
          <w:rFonts w:asciiTheme="majorHAnsi" w:hAnsiTheme="majorHAnsi"/>
        </w:rPr>
        <w:t xml:space="preserve">Requests </w:t>
      </w:r>
      <w:r w:rsidR="004F03A2">
        <w:rPr>
          <w:rFonts w:asciiTheme="majorHAnsi" w:hAnsiTheme="majorHAnsi"/>
        </w:rPr>
        <w:t>(</w:t>
      </w:r>
      <w:r w:rsidR="001575E9">
        <w:rPr>
          <w:rFonts w:asciiTheme="majorHAnsi" w:hAnsiTheme="majorHAnsi"/>
        </w:rPr>
        <w:t xml:space="preserve">SAR) </w:t>
      </w:r>
      <w:r w:rsidRPr="00D16CA5">
        <w:rPr>
          <w:rFonts w:asciiTheme="majorHAnsi" w:hAnsiTheme="majorHAnsi"/>
        </w:rPr>
        <w:t xml:space="preserve">will now have to be completed within one month, a reduction from the current 40 days. </w:t>
      </w:r>
      <w:r w:rsidR="00F52A2B" w:rsidRPr="00D16CA5">
        <w:rPr>
          <w:rFonts w:asciiTheme="majorHAnsi" w:hAnsiTheme="majorHAnsi"/>
        </w:rPr>
        <w:t xml:space="preserve">  It is anticipated th</w:t>
      </w:r>
      <w:r w:rsidR="003111B5" w:rsidRPr="00D16CA5">
        <w:rPr>
          <w:rFonts w:asciiTheme="majorHAnsi" w:hAnsiTheme="majorHAnsi"/>
        </w:rPr>
        <w:t>at th</w:t>
      </w:r>
      <w:r w:rsidR="00F52A2B" w:rsidRPr="00D16CA5">
        <w:rPr>
          <w:rFonts w:asciiTheme="majorHAnsi" w:hAnsiTheme="majorHAnsi"/>
        </w:rPr>
        <w:t xml:space="preserve">e current requirement for the NHS to respond </w:t>
      </w:r>
      <w:r w:rsidR="00D16CA5" w:rsidRPr="00D16CA5">
        <w:rPr>
          <w:rFonts w:asciiTheme="majorHAnsi" w:hAnsiTheme="majorHAnsi"/>
        </w:rPr>
        <w:t>within 21</w:t>
      </w:r>
      <w:r w:rsidR="00F52A2B" w:rsidRPr="00D16CA5">
        <w:rPr>
          <w:rFonts w:asciiTheme="majorHAnsi" w:hAnsiTheme="majorHAnsi"/>
        </w:rPr>
        <w:t xml:space="preserve"> days </w:t>
      </w:r>
      <w:r w:rsidR="00D361DE" w:rsidRPr="00D16CA5">
        <w:rPr>
          <w:rFonts w:asciiTheme="majorHAnsi" w:hAnsiTheme="majorHAnsi"/>
        </w:rPr>
        <w:t>will remain.</w:t>
      </w:r>
      <w:r w:rsidR="00F52A2B" w:rsidRPr="00D16CA5">
        <w:rPr>
          <w:rFonts w:asciiTheme="majorHAnsi" w:hAnsiTheme="majorHAnsi"/>
        </w:rPr>
        <w:t xml:space="preserve"> </w:t>
      </w:r>
      <w:r w:rsidRPr="00D16CA5">
        <w:rPr>
          <w:rFonts w:asciiTheme="majorHAnsi" w:hAnsiTheme="majorHAnsi"/>
        </w:rPr>
        <w:t xml:space="preserve">More information will have to be provided to an individual about why their information is being processed. No charge can be levied for a </w:t>
      </w:r>
      <w:r w:rsidR="00F37AD2">
        <w:rPr>
          <w:rFonts w:asciiTheme="majorHAnsi" w:hAnsiTheme="majorHAnsi"/>
        </w:rPr>
        <w:t xml:space="preserve">standard </w:t>
      </w:r>
      <w:r w:rsidRPr="00D16CA5">
        <w:rPr>
          <w:rFonts w:asciiTheme="majorHAnsi" w:hAnsiTheme="majorHAnsi"/>
        </w:rPr>
        <w:t>request.</w:t>
      </w:r>
      <w:r w:rsidR="00F37AD2">
        <w:rPr>
          <w:rFonts w:asciiTheme="majorHAnsi" w:hAnsiTheme="majorHAnsi"/>
        </w:rPr>
        <w:t xml:space="preserve">  However </w:t>
      </w:r>
      <w:r w:rsidR="00F37AD2" w:rsidRPr="00F37AD2">
        <w:rPr>
          <w:rFonts w:asciiTheme="majorHAnsi" w:hAnsiTheme="majorHAnsi"/>
        </w:rPr>
        <w:t xml:space="preserve">you may charge a </w:t>
      </w:r>
      <w:r w:rsidR="00F37AD2" w:rsidRPr="007D0E4F">
        <w:rPr>
          <w:rFonts w:asciiTheme="majorHAnsi" w:hAnsiTheme="majorHAnsi" w:cs="Arial"/>
          <w:color w:val="000000"/>
          <w:lang w:val="en"/>
        </w:rPr>
        <w:t xml:space="preserve">‘reasonable fee’ to cover administration costs </w:t>
      </w:r>
      <w:r w:rsidR="007D0E4F">
        <w:rPr>
          <w:rFonts w:asciiTheme="majorHAnsi" w:hAnsiTheme="majorHAnsi" w:cs="Arial"/>
          <w:color w:val="000000"/>
          <w:lang w:val="en"/>
        </w:rPr>
        <w:t>if</w:t>
      </w:r>
      <w:r w:rsidR="007D0E4F" w:rsidRPr="007D0E4F">
        <w:rPr>
          <w:rFonts w:asciiTheme="majorHAnsi" w:hAnsiTheme="majorHAnsi" w:cs="Arial"/>
          <w:color w:val="000000"/>
          <w:lang w:val="en"/>
        </w:rPr>
        <w:t xml:space="preserve"> </w:t>
      </w:r>
      <w:r w:rsidR="00F37AD2" w:rsidRPr="007D0E4F">
        <w:rPr>
          <w:rFonts w:asciiTheme="majorHAnsi" w:hAnsiTheme="majorHAnsi" w:cs="Arial"/>
          <w:color w:val="000000"/>
          <w:lang w:val="en"/>
        </w:rPr>
        <w:t xml:space="preserve">a request is </w:t>
      </w:r>
      <w:r w:rsidR="00F37AD2">
        <w:rPr>
          <w:rFonts w:asciiTheme="majorHAnsi" w:hAnsiTheme="majorHAnsi" w:cs="Arial"/>
          <w:color w:val="000000"/>
          <w:lang w:val="en"/>
        </w:rPr>
        <w:t>‘</w:t>
      </w:r>
      <w:r w:rsidR="00F37AD2" w:rsidRPr="007D0E4F">
        <w:rPr>
          <w:rFonts w:asciiTheme="majorHAnsi" w:hAnsiTheme="majorHAnsi" w:cs="Arial"/>
          <w:color w:val="000000"/>
          <w:lang w:val="en"/>
        </w:rPr>
        <w:t>manifestly unfounded or excessive</w:t>
      </w:r>
      <w:r w:rsidR="00F37AD2">
        <w:rPr>
          <w:rFonts w:asciiTheme="majorHAnsi" w:hAnsiTheme="majorHAnsi" w:cs="Arial"/>
          <w:color w:val="000000"/>
          <w:lang w:val="en"/>
        </w:rPr>
        <w:t>’</w:t>
      </w:r>
      <w:r w:rsidR="00B0665B">
        <w:rPr>
          <w:rFonts w:ascii="Verdana" w:hAnsi="Verdana" w:cs="Arial"/>
          <w:color w:val="000000"/>
          <w:sz w:val="23"/>
          <w:szCs w:val="23"/>
          <w:lang w:val="en"/>
        </w:rPr>
        <w:t>.</w:t>
      </w:r>
      <w:r w:rsidR="00B06FAE">
        <w:rPr>
          <w:rStyle w:val="FootnoteReference"/>
          <w:rFonts w:ascii="Verdana" w:hAnsi="Verdana" w:cs="Arial"/>
          <w:color w:val="000000"/>
          <w:sz w:val="23"/>
          <w:szCs w:val="23"/>
          <w:lang w:val="en"/>
        </w:rPr>
        <w:footnoteReference w:id="3"/>
      </w:r>
    </w:p>
    <w:p w:rsidR="00FF4839" w:rsidRPr="00F12DCF" w:rsidRDefault="00FF4839" w:rsidP="00F12DCF">
      <w:pPr>
        <w:rPr>
          <w:rFonts w:asciiTheme="majorHAnsi" w:hAnsiTheme="majorHAnsi"/>
        </w:rPr>
      </w:pPr>
    </w:p>
    <w:p w:rsidR="00641531" w:rsidRPr="00405E1E" w:rsidRDefault="00F12DCF" w:rsidP="00F12DCF">
      <w:pPr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</w:rPr>
        <w:tab/>
      </w:r>
      <w:r w:rsidR="00641531" w:rsidRPr="00405E1E">
        <w:rPr>
          <w:rFonts w:asciiTheme="majorHAnsi" w:hAnsiTheme="majorHAnsi"/>
          <w:i/>
          <w:sz w:val="22"/>
        </w:rPr>
        <w:t xml:space="preserve">Further action: </w:t>
      </w:r>
      <w:r w:rsidR="00F52A2B" w:rsidRPr="00405E1E">
        <w:rPr>
          <w:rFonts w:asciiTheme="majorHAnsi" w:hAnsiTheme="majorHAnsi"/>
          <w:i/>
          <w:sz w:val="22"/>
        </w:rPr>
        <w:t xml:space="preserve"> </w:t>
      </w:r>
      <w:r w:rsidR="0073450E" w:rsidRPr="00405E1E">
        <w:rPr>
          <w:rFonts w:asciiTheme="majorHAnsi" w:hAnsiTheme="majorHAnsi"/>
          <w:i/>
          <w:sz w:val="22"/>
        </w:rPr>
        <w:t>Re</w:t>
      </w:r>
      <w:r w:rsidR="00A82730" w:rsidRPr="00405E1E">
        <w:rPr>
          <w:rFonts w:asciiTheme="majorHAnsi" w:hAnsiTheme="majorHAnsi"/>
          <w:i/>
          <w:sz w:val="22"/>
        </w:rPr>
        <w:t>v</w:t>
      </w:r>
      <w:r w:rsidR="0073450E" w:rsidRPr="00405E1E">
        <w:rPr>
          <w:rFonts w:asciiTheme="majorHAnsi" w:hAnsiTheme="majorHAnsi"/>
          <w:i/>
          <w:sz w:val="22"/>
        </w:rPr>
        <w:t>ie</w:t>
      </w:r>
      <w:r w:rsidR="00A82730" w:rsidRPr="00405E1E">
        <w:rPr>
          <w:rFonts w:asciiTheme="majorHAnsi" w:hAnsiTheme="majorHAnsi"/>
          <w:i/>
          <w:sz w:val="22"/>
        </w:rPr>
        <w:t xml:space="preserve">w and update your </w:t>
      </w:r>
      <w:r w:rsidR="00F07D4D" w:rsidRPr="00405E1E">
        <w:rPr>
          <w:rFonts w:asciiTheme="majorHAnsi" w:hAnsiTheme="majorHAnsi"/>
          <w:i/>
          <w:sz w:val="22"/>
        </w:rPr>
        <w:t>SAR processes</w:t>
      </w:r>
      <w:r w:rsidR="00F52A2B" w:rsidRPr="00405E1E">
        <w:rPr>
          <w:rFonts w:asciiTheme="majorHAnsi" w:hAnsiTheme="majorHAnsi"/>
          <w:i/>
          <w:sz w:val="22"/>
        </w:rPr>
        <w:t xml:space="preserve"> </w:t>
      </w:r>
      <w:r w:rsidR="001575E9">
        <w:rPr>
          <w:rFonts w:asciiTheme="majorHAnsi" w:hAnsiTheme="majorHAnsi"/>
          <w:i/>
          <w:sz w:val="22"/>
        </w:rPr>
        <w:t>/</w:t>
      </w:r>
      <w:r w:rsidR="00F52A2B" w:rsidRPr="00405E1E">
        <w:rPr>
          <w:rFonts w:asciiTheme="majorHAnsi" w:hAnsiTheme="majorHAnsi"/>
          <w:i/>
          <w:sz w:val="22"/>
        </w:rPr>
        <w:t>procedures</w:t>
      </w:r>
      <w:r w:rsidR="001575E9">
        <w:rPr>
          <w:rFonts w:asciiTheme="majorHAnsi" w:hAnsiTheme="majorHAnsi"/>
          <w:i/>
          <w:sz w:val="22"/>
        </w:rPr>
        <w:t xml:space="preserve"> and </w:t>
      </w:r>
      <w:r w:rsidR="00DB12A3">
        <w:rPr>
          <w:rFonts w:asciiTheme="majorHAnsi" w:hAnsiTheme="majorHAnsi"/>
          <w:i/>
          <w:sz w:val="22"/>
        </w:rPr>
        <w:t>your Privacy Notice.</w:t>
      </w:r>
    </w:p>
    <w:p w:rsidR="00FF4839" w:rsidRPr="00D16CA5" w:rsidRDefault="00FF4839" w:rsidP="00D16CA5">
      <w:pPr>
        <w:rPr>
          <w:rFonts w:asciiTheme="majorHAnsi" w:hAnsiTheme="majorHAnsi"/>
          <w:sz w:val="22"/>
        </w:rPr>
      </w:pPr>
    </w:p>
    <w:p w:rsidR="00FF4839" w:rsidRPr="00D16CA5" w:rsidRDefault="00FF4839" w:rsidP="00D16CA5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 w:rsidRPr="00D16CA5">
        <w:rPr>
          <w:rFonts w:asciiTheme="majorHAnsi" w:hAnsiTheme="majorHAnsi"/>
          <w:b/>
        </w:rPr>
        <w:t>Lawful basis for processing personal data</w:t>
      </w:r>
      <w:r w:rsidR="00641531" w:rsidRPr="00D16CA5">
        <w:rPr>
          <w:rFonts w:asciiTheme="majorHAnsi" w:hAnsiTheme="majorHAnsi"/>
          <w:b/>
          <w:bCs/>
        </w:rPr>
        <w:t xml:space="preserve">- </w:t>
      </w:r>
      <w:r w:rsidR="00995F67" w:rsidRPr="00D16CA5">
        <w:rPr>
          <w:rFonts w:asciiTheme="majorHAnsi" w:hAnsiTheme="majorHAnsi"/>
          <w:b/>
          <w:bCs/>
          <w:color w:val="E46C0A"/>
        </w:rPr>
        <w:t>PARTIALLY COMPLIANT</w:t>
      </w:r>
    </w:p>
    <w:p w:rsidR="00FF4839" w:rsidRPr="00D16CA5" w:rsidRDefault="00FF4839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FF4839" w:rsidRPr="00D16CA5" w:rsidRDefault="00FF4839" w:rsidP="00D16CA5">
      <w:pPr>
        <w:pStyle w:val="ListParagraph"/>
        <w:spacing w:after="0" w:line="240" w:lineRule="auto"/>
        <w:rPr>
          <w:rFonts w:asciiTheme="majorHAnsi" w:hAnsiTheme="majorHAnsi"/>
        </w:rPr>
      </w:pPr>
      <w:r w:rsidRPr="00D16CA5">
        <w:rPr>
          <w:rFonts w:asciiTheme="majorHAnsi" w:hAnsiTheme="majorHAnsi"/>
        </w:rPr>
        <w:t>There should be a lawful basis</w:t>
      </w:r>
      <w:r w:rsidR="00731FA3">
        <w:rPr>
          <w:rFonts w:asciiTheme="majorHAnsi" w:hAnsiTheme="majorHAnsi"/>
        </w:rPr>
        <w:t xml:space="preserve"> </w:t>
      </w:r>
      <w:r w:rsidR="00731FA3" w:rsidRPr="00D16CA5">
        <w:rPr>
          <w:rFonts w:asciiTheme="majorHAnsi" w:hAnsiTheme="majorHAnsi"/>
        </w:rPr>
        <w:t>identified</w:t>
      </w:r>
      <w:r w:rsidRPr="00D16CA5">
        <w:rPr>
          <w:rFonts w:asciiTheme="majorHAnsi" w:hAnsiTheme="majorHAnsi"/>
        </w:rPr>
        <w:t xml:space="preserve"> for </w:t>
      </w:r>
      <w:r w:rsidR="00731FA3">
        <w:rPr>
          <w:rFonts w:asciiTheme="majorHAnsi" w:hAnsiTheme="majorHAnsi"/>
        </w:rPr>
        <w:t xml:space="preserve">all </w:t>
      </w:r>
      <w:r w:rsidRPr="00D16CA5">
        <w:rPr>
          <w:rFonts w:asciiTheme="majorHAnsi" w:hAnsiTheme="majorHAnsi"/>
        </w:rPr>
        <w:t xml:space="preserve">data </w:t>
      </w:r>
      <w:r w:rsidR="00731FA3" w:rsidRPr="00D16CA5">
        <w:rPr>
          <w:rFonts w:asciiTheme="majorHAnsi" w:hAnsiTheme="majorHAnsi"/>
        </w:rPr>
        <w:t>processing</w:t>
      </w:r>
      <w:r w:rsidR="00731FA3" w:rsidRPr="00D16CA5" w:rsidDel="00731FA3">
        <w:rPr>
          <w:rFonts w:asciiTheme="majorHAnsi" w:hAnsiTheme="majorHAnsi"/>
        </w:rPr>
        <w:t xml:space="preserve"> </w:t>
      </w:r>
      <w:r w:rsidRPr="00D16CA5">
        <w:rPr>
          <w:rFonts w:asciiTheme="majorHAnsi" w:hAnsiTheme="majorHAnsi"/>
        </w:rPr>
        <w:t xml:space="preserve">and </w:t>
      </w:r>
      <w:r w:rsidR="00731FA3">
        <w:rPr>
          <w:rFonts w:asciiTheme="majorHAnsi" w:hAnsiTheme="majorHAnsi"/>
        </w:rPr>
        <w:t>this should be added to your</w:t>
      </w:r>
      <w:r w:rsidRPr="00D16CA5">
        <w:rPr>
          <w:rFonts w:asciiTheme="majorHAnsi" w:hAnsiTheme="majorHAnsi"/>
        </w:rPr>
        <w:t xml:space="preserve"> privacy notice to explain it.</w:t>
      </w:r>
    </w:p>
    <w:p w:rsidR="00FF4839" w:rsidRPr="00D16CA5" w:rsidRDefault="00FF4839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FF4839" w:rsidRPr="00D16CA5" w:rsidRDefault="00FF4839" w:rsidP="00D16CA5">
      <w:pPr>
        <w:pStyle w:val="ListParagraph"/>
        <w:spacing w:after="0" w:line="240" w:lineRule="auto"/>
        <w:rPr>
          <w:rFonts w:asciiTheme="majorHAnsi" w:hAnsiTheme="majorHAnsi"/>
        </w:rPr>
      </w:pPr>
      <w:r w:rsidRPr="00D16CA5">
        <w:rPr>
          <w:rFonts w:asciiTheme="majorHAnsi" w:hAnsiTheme="majorHAnsi"/>
        </w:rPr>
        <w:t xml:space="preserve">This again </w:t>
      </w:r>
      <w:r w:rsidR="003111B5" w:rsidRPr="00D16CA5">
        <w:rPr>
          <w:rFonts w:asciiTheme="majorHAnsi" w:hAnsiTheme="majorHAnsi"/>
        </w:rPr>
        <w:t xml:space="preserve">is </w:t>
      </w:r>
      <w:r w:rsidRPr="00D16CA5">
        <w:rPr>
          <w:rFonts w:asciiTheme="majorHAnsi" w:hAnsiTheme="majorHAnsi"/>
        </w:rPr>
        <w:t xml:space="preserve">already largely done. </w:t>
      </w:r>
      <w:r w:rsidR="00F52A2B" w:rsidRPr="00D16CA5">
        <w:rPr>
          <w:rFonts w:asciiTheme="majorHAnsi" w:hAnsiTheme="majorHAnsi"/>
        </w:rPr>
        <w:t xml:space="preserve">  Your Practice</w:t>
      </w:r>
      <w:r w:rsidRPr="00D16CA5">
        <w:rPr>
          <w:rFonts w:asciiTheme="majorHAnsi" w:hAnsiTheme="majorHAnsi"/>
        </w:rPr>
        <w:t xml:space="preserve"> has a privacy notice </w:t>
      </w:r>
      <w:r w:rsidR="00F52A2B" w:rsidRPr="00D16CA5">
        <w:rPr>
          <w:rFonts w:asciiTheme="majorHAnsi" w:hAnsiTheme="majorHAnsi"/>
        </w:rPr>
        <w:t>which should</w:t>
      </w:r>
      <w:r w:rsidRPr="00D16CA5">
        <w:rPr>
          <w:rFonts w:asciiTheme="majorHAnsi" w:hAnsiTheme="majorHAnsi"/>
        </w:rPr>
        <w:t xml:space="preserve"> identify the legal basis for any data </w:t>
      </w:r>
      <w:r w:rsidR="00F07D4D" w:rsidRPr="00D16CA5">
        <w:rPr>
          <w:rFonts w:asciiTheme="majorHAnsi" w:hAnsiTheme="majorHAnsi"/>
        </w:rPr>
        <w:t>flow.</w:t>
      </w:r>
    </w:p>
    <w:p w:rsidR="008D5852" w:rsidRPr="00D16CA5" w:rsidRDefault="008D5852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8D5852" w:rsidRPr="00D16CA5" w:rsidRDefault="003111B5" w:rsidP="00D16CA5">
      <w:pPr>
        <w:pStyle w:val="ListParagraph"/>
        <w:spacing w:after="0" w:line="240" w:lineRule="auto"/>
        <w:rPr>
          <w:rFonts w:asciiTheme="majorHAnsi" w:hAnsiTheme="majorHAnsi"/>
          <w:i/>
        </w:rPr>
      </w:pPr>
      <w:r w:rsidRPr="00D16CA5">
        <w:rPr>
          <w:rFonts w:asciiTheme="majorHAnsi" w:hAnsiTheme="majorHAnsi"/>
          <w:i/>
        </w:rPr>
        <w:t>F</w:t>
      </w:r>
      <w:r w:rsidR="008D5852" w:rsidRPr="00D16CA5">
        <w:rPr>
          <w:rFonts w:asciiTheme="majorHAnsi" w:hAnsiTheme="majorHAnsi"/>
          <w:i/>
        </w:rPr>
        <w:t>urther action</w:t>
      </w:r>
      <w:r w:rsidRPr="00D16CA5">
        <w:rPr>
          <w:rFonts w:asciiTheme="majorHAnsi" w:hAnsiTheme="majorHAnsi"/>
          <w:i/>
        </w:rPr>
        <w:t xml:space="preserve">: </w:t>
      </w:r>
      <w:r w:rsidR="008D5852" w:rsidRPr="00D16CA5">
        <w:rPr>
          <w:rFonts w:asciiTheme="majorHAnsi" w:hAnsiTheme="majorHAnsi"/>
          <w:i/>
        </w:rPr>
        <w:t xml:space="preserve"> </w:t>
      </w:r>
      <w:r w:rsidR="00995F67" w:rsidRPr="00D16CA5">
        <w:rPr>
          <w:rFonts w:asciiTheme="majorHAnsi" w:hAnsiTheme="majorHAnsi"/>
          <w:i/>
        </w:rPr>
        <w:t xml:space="preserve">Review </w:t>
      </w:r>
      <w:r w:rsidR="00A82730" w:rsidRPr="00D16CA5">
        <w:rPr>
          <w:rFonts w:asciiTheme="majorHAnsi" w:hAnsiTheme="majorHAnsi"/>
          <w:i/>
        </w:rPr>
        <w:t xml:space="preserve">the </w:t>
      </w:r>
      <w:r w:rsidR="00F07D4D" w:rsidRPr="00D16CA5">
        <w:rPr>
          <w:rFonts w:asciiTheme="majorHAnsi" w:hAnsiTheme="majorHAnsi"/>
          <w:i/>
        </w:rPr>
        <w:t>data flows</w:t>
      </w:r>
      <w:r w:rsidR="00A82730" w:rsidRPr="00D16CA5">
        <w:rPr>
          <w:rFonts w:asciiTheme="majorHAnsi" w:hAnsiTheme="majorHAnsi"/>
          <w:i/>
        </w:rPr>
        <w:t xml:space="preserve"> in your </w:t>
      </w:r>
      <w:r w:rsidRPr="00D16CA5">
        <w:rPr>
          <w:rFonts w:asciiTheme="majorHAnsi" w:hAnsiTheme="majorHAnsi"/>
          <w:i/>
        </w:rPr>
        <w:t xml:space="preserve">privacy notice and update where </w:t>
      </w:r>
      <w:r w:rsidR="00995F67" w:rsidRPr="00D16CA5">
        <w:rPr>
          <w:rFonts w:asciiTheme="majorHAnsi" w:hAnsiTheme="majorHAnsi"/>
          <w:i/>
        </w:rPr>
        <w:t>required</w:t>
      </w:r>
    </w:p>
    <w:p w:rsidR="00471CE3" w:rsidRDefault="00471CE3">
      <w:pPr>
        <w:rPr>
          <w:rFonts w:asciiTheme="majorHAnsi" w:eastAsiaTheme="minorHAnsi" w:hAnsiTheme="majorHAnsi" w:cstheme="minorBidi"/>
          <w:b/>
          <w:color w:val="auto"/>
          <w:sz w:val="22"/>
        </w:rPr>
      </w:pPr>
    </w:p>
    <w:p w:rsidR="00FF4839" w:rsidRPr="00D16CA5" w:rsidRDefault="00FF4839" w:rsidP="00D16CA5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 w:rsidRPr="00D16CA5">
        <w:rPr>
          <w:rFonts w:asciiTheme="majorHAnsi" w:hAnsiTheme="majorHAnsi"/>
          <w:b/>
        </w:rPr>
        <w:t>Consent</w:t>
      </w:r>
      <w:r w:rsidR="008D5852" w:rsidRPr="00D16CA5">
        <w:rPr>
          <w:rFonts w:asciiTheme="majorHAnsi" w:hAnsiTheme="majorHAnsi"/>
          <w:b/>
          <w:bCs/>
        </w:rPr>
        <w:t xml:space="preserve"> – </w:t>
      </w:r>
      <w:r w:rsidR="008D5852" w:rsidRPr="00D16CA5">
        <w:rPr>
          <w:rFonts w:asciiTheme="majorHAnsi" w:hAnsiTheme="majorHAnsi"/>
          <w:b/>
          <w:bCs/>
          <w:color w:val="E46C0A"/>
        </w:rPr>
        <w:t>PARTIALLY COMPLIANT</w:t>
      </w:r>
    </w:p>
    <w:p w:rsidR="00FF4839" w:rsidRPr="00D16CA5" w:rsidRDefault="00FF4839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FF4839" w:rsidRPr="004D3F76" w:rsidRDefault="00FF4839">
      <w:pPr>
        <w:pStyle w:val="ListParagraph"/>
        <w:spacing w:after="0" w:line="240" w:lineRule="auto"/>
        <w:rPr>
          <w:rFonts w:asciiTheme="majorHAnsi" w:hAnsiTheme="majorHAnsi"/>
        </w:rPr>
      </w:pPr>
      <w:r w:rsidRPr="00D16CA5">
        <w:rPr>
          <w:rFonts w:asciiTheme="majorHAnsi" w:hAnsiTheme="majorHAnsi"/>
        </w:rPr>
        <w:t xml:space="preserve">There is a greater emphasis on the unambiguous methods of gaining consent from individuals. </w:t>
      </w:r>
      <w:r w:rsidR="006A0D2B">
        <w:rPr>
          <w:rFonts w:asciiTheme="majorHAnsi" w:hAnsiTheme="majorHAnsi"/>
        </w:rPr>
        <w:t xml:space="preserve">  Under GDPR, c</w:t>
      </w:r>
      <w:r w:rsidR="006A0D2B" w:rsidRPr="00D16CA5">
        <w:rPr>
          <w:rFonts w:asciiTheme="majorHAnsi" w:hAnsiTheme="majorHAnsi"/>
        </w:rPr>
        <w:t xml:space="preserve">onsent will need to be </w:t>
      </w:r>
      <w:r w:rsidR="006A0D2B">
        <w:rPr>
          <w:rFonts w:asciiTheme="majorHAnsi" w:hAnsiTheme="majorHAnsi"/>
        </w:rPr>
        <w:t>explicit.</w:t>
      </w:r>
      <w:r w:rsidR="006A0D2B" w:rsidRPr="00D16CA5">
        <w:rPr>
          <w:rFonts w:asciiTheme="majorHAnsi" w:hAnsiTheme="majorHAnsi"/>
        </w:rPr>
        <w:t xml:space="preserve">  </w:t>
      </w:r>
      <w:r w:rsidRPr="00D16CA5">
        <w:rPr>
          <w:rFonts w:asciiTheme="majorHAnsi" w:hAnsiTheme="majorHAnsi"/>
        </w:rPr>
        <w:t xml:space="preserve">The methods of </w:t>
      </w:r>
      <w:r w:rsidR="001575E9">
        <w:rPr>
          <w:rFonts w:asciiTheme="majorHAnsi" w:hAnsiTheme="majorHAnsi"/>
        </w:rPr>
        <w:t>seeking, obtaining and recording</w:t>
      </w:r>
      <w:r w:rsidRPr="00D16CA5">
        <w:rPr>
          <w:rFonts w:asciiTheme="majorHAnsi" w:hAnsiTheme="majorHAnsi"/>
        </w:rPr>
        <w:t xml:space="preserve"> consent </w:t>
      </w:r>
      <w:r w:rsidR="001575E9">
        <w:rPr>
          <w:rFonts w:asciiTheme="majorHAnsi" w:hAnsiTheme="majorHAnsi"/>
        </w:rPr>
        <w:t>should</w:t>
      </w:r>
      <w:r w:rsidRPr="00D16CA5">
        <w:rPr>
          <w:rFonts w:asciiTheme="majorHAnsi" w:hAnsiTheme="majorHAnsi"/>
        </w:rPr>
        <w:t xml:space="preserve"> be checked to see if they meet the new standards. </w:t>
      </w:r>
      <w:r w:rsidRPr="004D3F76">
        <w:rPr>
          <w:rFonts w:asciiTheme="majorHAnsi" w:hAnsiTheme="majorHAnsi"/>
        </w:rPr>
        <w:t xml:space="preserve">This will </w:t>
      </w:r>
      <w:r w:rsidR="001575E9" w:rsidRPr="004D3F76">
        <w:rPr>
          <w:rFonts w:asciiTheme="majorHAnsi" w:hAnsiTheme="majorHAnsi"/>
        </w:rPr>
        <w:t xml:space="preserve">include reviewing and refreshing all forms </w:t>
      </w:r>
      <w:r w:rsidRPr="004D3F76">
        <w:rPr>
          <w:rFonts w:asciiTheme="majorHAnsi" w:hAnsiTheme="majorHAnsi"/>
        </w:rPr>
        <w:t xml:space="preserve">used by </w:t>
      </w:r>
      <w:r w:rsidR="00F52A2B" w:rsidRPr="004D3F76">
        <w:rPr>
          <w:rFonts w:asciiTheme="majorHAnsi" w:hAnsiTheme="majorHAnsi"/>
        </w:rPr>
        <w:t>your Practice</w:t>
      </w:r>
      <w:r w:rsidRPr="004D3F76">
        <w:rPr>
          <w:rFonts w:asciiTheme="majorHAnsi" w:hAnsiTheme="majorHAnsi"/>
        </w:rPr>
        <w:t xml:space="preserve"> </w:t>
      </w:r>
      <w:r w:rsidR="00084CFC" w:rsidRPr="004D3F76">
        <w:rPr>
          <w:rFonts w:asciiTheme="majorHAnsi" w:hAnsiTheme="majorHAnsi"/>
        </w:rPr>
        <w:t>where required</w:t>
      </w:r>
      <w:r w:rsidR="00D16CA5" w:rsidRPr="004D3F76">
        <w:rPr>
          <w:rFonts w:asciiTheme="majorHAnsi" w:hAnsiTheme="majorHAnsi"/>
        </w:rPr>
        <w:t xml:space="preserve"> </w:t>
      </w:r>
      <w:r w:rsidRPr="004D3F76">
        <w:rPr>
          <w:rFonts w:asciiTheme="majorHAnsi" w:hAnsiTheme="majorHAnsi"/>
        </w:rPr>
        <w:t>to</w:t>
      </w:r>
      <w:r w:rsidR="001575E9" w:rsidRPr="004D3F76">
        <w:rPr>
          <w:rFonts w:asciiTheme="majorHAnsi" w:hAnsiTheme="majorHAnsi"/>
        </w:rPr>
        <w:t xml:space="preserve"> </w:t>
      </w:r>
      <w:r w:rsidRPr="004D3F76">
        <w:rPr>
          <w:rFonts w:asciiTheme="majorHAnsi" w:hAnsiTheme="majorHAnsi"/>
        </w:rPr>
        <w:t xml:space="preserve">ensure </w:t>
      </w:r>
      <w:r w:rsidR="00731FA3" w:rsidRPr="004D3F76">
        <w:rPr>
          <w:rFonts w:asciiTheme="majorHAnsi" w:hAnsiTheme="majorHAnsi"/>
        </w:rPr>
        <w:t>the validity of consent</w:t>
      </w:r>
      <w:r w:rsidRPr="004D3F76">
        <w:rPr>
          <w:rFonts w:asciiTheme="majorHAnsi" w:hAnsiTheme="majorHAnsi"/>
        </w:rPr>
        <w:t>.</w:t>
      </w:r>
    </w:p>
    <w:p w:rsidR="00641531" w:rsidRPr="00D16CA5" w:rsidRDefault="00641531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641531" w:rsidRPr="00D16CA5" w:rsidRDefault="00641531" w:rsidP="00D16CA5">
      <w:pPr>
        <w:pStyle w:val="ListParagraph"/>
        <w:spacing w:after="0" w:line="240" w:lineRule="auto"/>
        <w:rPr>
          <w:rFonts w:asciiTheme="majorHAnsi" w:hAnsiTheme="majorHAnsi"/>
        </w:rPr>
      </w:pPr>
      <w:r w:rsidRPr="00D16CA5">
        <w:rPr>
          <w:rFonts w:asciiTheme="majorHAnsi" w:hAnsiTheme="majorHAnsi"/>
          <w:i/>
          <w:iCs/>
        </w:rPr>
        <w:t xml:space="preserve">Further action: </w:t>
      </w:r>
      <w:r w:rsidR="00F12DCF">
        <w:rPr>
          <w:rFonts w:asciiTheme="majorHAnsi" w:hAnsiTheme="majorHAnsi"/>
          <w:i/>
          <w:iCs/>
        </w:rPr>
        <w:t>A</w:t>
      </w:r>
      <w:r w:rsidR="00874CC2">
        <w:rPr>
          <w:rFonts w:asciiTheme="majorHAnsi" w:hAnsiTheme="majorHAnsi"/>
          <w:i/>
          <w:iCs/>
        </w:rPr>
        <w:t xml:space="preserve">n </w:t>
      </w:r>
      <w:r w:rsidRPr="00D16CA5">
        <w:rPr>
          <w:rFonts w:asciiTheme="majorHAnsi" w:hAnsiTheme="majorHAnsi"/>
          <w:i/>
          <w:iCs/>
        </w:rPr>
        <w:t xml:space="preserve">audit </w:t>
      </w:r>
      <w:r w:rsidR="00F52A2B" w:rsidRPr="00D16CA5">
        <w:rPr>
          <w:rFonts w:asciiTheme="majorHAnsi" w:hAnsiTheme="majorHAnsi"/>
          <w:i/>
          <w:iCs/>
        </w:rPr>
        <w:t>should be undertaken</w:t>
      </w:r>
      <w:r w:rsidRPr="00D16CA5">
        <w:rPr>
          <w:rFonts w:asciiTheme="majorHAnsi" w:hAnsiTheme="majorHAnsi"/>
          <w:i/>
          <w:iCs/>
        </w:rPr>
        <w:t xml:space="preserve"> to ensure areas of consent are identified</w:t>
      </w:r>
      <w:r w:rsidR="006A0D2B">
        <w:rPr>
          <w:rFonts w:asciiTheme="majorHAnsi" w:hAnsiTheme="majorHAnsi"/>
          <w:i/>
          <w:iCs/>
        </w:rPr>
        <w:t xml:space="preserve"> and refreshed where required</w:t>
      </w:r>
      <w:r w:rsidRPr="00D16CA5">
        <w:rPr>
          <w:rFonts w:asciiTheme="majorHAnsi" w:hAnsiTheme="majorHAnsi"/>
          <w:i/>
          <w:iCs/>
        </w:rPr>
        <w:t>.</w:t>
      </w:r>
    </w:p>
    <w:p w:rsidR="00FF4839" w:rsidRPr="00D16CA5" w:rsidRDefault="00FF4839" w:rsidP="00D16CA5">
      <w:pPr>
        <w:rPr>
          <w:rFonts w:asciiTheme="majorHAnsi" w:hAnsiTheme="majorHAnsi"/>
          <w:sz w:val="22"/>
        </w:rPr>
      </w:pPr>
    </w:p>
    <w:p w:rsidR="00FF4839" w:rsidRPr="00D16CA5" w:rsidRDefault="00FF4839" w:rsidP="00D16CA5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 w:rsidRPr="00D16CA5">
        <w:rPr>
          <w:rFonts w:asciiTheme="majorHAnsi" w:hAnsiTheme="majorHAnsi"/>
          <w:b/>
        </w:rPr>
        <w:t>Children</w:t>
      </w:r>
      <w:r w:rsidR="008D5852" w:rsidRPr="00D16CA5">
        <w:rPr>
          <w:rFonts w:asciiTheme="majorHAnsi" w:hAnsiTheme="majorHAnsi"/>
          <w:b/>
          <w:bCs/>
        </w:rPr>
        <w:t xml:space="preserve"> – </w:t>
      </w:r>
      <w:r w:rsidR="008D5852" w:rsidRPr="00D16CA5">
        <w:rPr>
          <w:rFonts w:asciiTheme="majorHAnsi" w:hAnsiTheme="majorHAnsi"/>
          <w:b/>
          <w:bCs/>
          <w:color w:val="E46C0A"/>
        </w:rPr>
        <w:t>PARTIALLY COMPLIANT</w:t>
      </w:r>
    </w:p>
    <w:p w:rsidR="00FF4839" w:rsidRPr="00D16CA5" w:rsidRDefault="00FF4839" w:rsidP="00D16CA5">
      <w:pPr>
        <w:pStyle w:val="ListParagraph"/>
        <w:spacing w:after="0" w:line="240" w:lineRule="auto"/>
        <w:rPr>
          <w:rFonts w:asciiTheme="majorHAnsi" w:hAnsiTheme="majorHAnsi"/>
          <w:b/>
        </w:rPr>
      </w:pPr>
    </w:p>
    <w:p w:rsidR="00550BC2" w:rsidRPr="00550BC2" w:rsidRDefault="00550BC2" w:rsidP="00550BC2">
      <w:pPr>
        <w:pStyle w:val="ListParagraph"/>
        <w:spacing w:after="0" w:line="240" w:lineRule="auto"/>
        <w:rPr>
          <w:rFonts w:asciiTheme="majorHAnsi" w:hAnsiTheme="majorHAnsi"/>
        </w:rPr>
      </w:pPr>
      <w:r w:rsidRPr="00550BC2">
        <w:rPr>
          <w:rFonts w:asciiTheme="majorHAnsi" w:hAnsiTheme="majorHAnsi"/>
        </w:rPr>
        <w:t>There is an increased focus on the processing of children’s data.  The use of data from people who do not have the capacity to</w:t>
      </w:r>
      <w:r w:rsidRPr="00550BC2">
        <w:rPr>
          <w:rFonts w:asciiTheme="majorHAnsi" w:hAnsiTheme="majorHAnsi"/>
          <w:b/>
          <w:bCs/>
        </w:rPr>
        <w:t xml:space="preserve"> </w:t>
      </w:r>
      <w:r w:rsidRPr="00550BC2">
        <w:rPr>
          <w:rFonts w:asciiTheme="majorHAnsi" w:hAnsiTheme="majorHAnsi"/>
        </w:rPr>
        <w:t>consent is very important.</w:t>
      </w:r>
    </w:p>
    <w:p w:rsidR="00550BC2" w:rsidRPr="00550BC2" w:rsidRDefault="00550BC2" w:rsidP="00550BC2">
      <w:pPr>
        <w:pStyle w:val="ListParagraph"/>
        <w:spacing w:after="0" w:line="240" w:lineRule="auto"/>
        <w:rPr>
          <w:rFonts w:asciiTheme="majorHAnsi" w:hAnsiTheme="majorHAnsi"/>
        </w:rPr>
      </w:pPr>
      <w:r w:rsidRPr="00550BC2">
        <w:rPr>
          <w:rFonts w:asciiTheme="majorHAnsi" w:hAnsiTheme="majorHAnsi"/>
        </w:rPr>
        <w:t>Your Practice should look at how consent is obtained from a parent or guardian and how you apply the Fraser guidelines/</w:t>
      </w:r>
      <w:proofErr w:type="spellStart"/>
      <w:r w:rsidRPr="00550BC2">
        <w:rPr>
          <w:rFonts w:asciiTheme="majorHAnsi" w:hAnsiTheme="majorHAnsi"/>
        </w:rPr>
        <w:t>Gillick</w:t>
      </w:r>
      <w:proofErr w:type="spellEnd"/>
      <w:r w:rsidRPr="00550BC2">
        <w:rPr>
          <w:rFonts w:asciiTheme="majorHAnsi" w:hAnsiTheme="majorHAnsi"/>
        </w:rPr>
        <w:t xml:space="preserve"> competence.</w:t>
      </w:r>
    </w:p>
    <w:p w:rsidR="00550BC2" w:rsidRPr="00550BC2" w:rsidRDefault="00550BC2" w:rsidP="00550BC2">
      <w:pPr>
        <w:pStyle w:val="ListParagraph"/>
        <w:spacing w:after="0" w:line="240" w:lineRule="auto"/>
        <w:rPr>
          <w:rFonts w:asciiTheme="majorHAnsi" w:hAnsiTheme="majorHAnsi"/>
        </w:rPr>
      </w:pPr>
    </w:p>
    <w:p w:rsidR="00550BC2" w:rsidRPr="00550BC2" w:rsidRDefault="00550BC2" w:rsidP="00550BC2">
      <w:pPr>
        <w:pStyle w:val="ListParagraph"/>
        <w:spacing w:after="0" w:line="240" w:lineRule="auto"/>
        <w:rPr>
          <w:rFonts w:asciiTheme="majorHAnsi" w:hAnsiTheme="majorHAnsi"/>
        </w:rPr>
      </w:pPr>
      <w:r w:rsidRPr="00550BC2">
        <w:rPr>
          <w:rFonts w:asciiTheme="majorHAnsi" w:hAnsiTheme="majorHAnsi"/>
        </w:rPr>
        <w:t>Your Practice is already well aware of its responsibilities in this area.</w:t>
      </w:r>
    </w:p>
    <w:p w:rsidR="00550BC2" w:rsidRPr="00550BC2" w:rsidRDefault="00550BC2" w:rsidP="00550BC2">
      <w:pPr>
        <w:rPr>
          <w:rFonts w:asciiTheme="majorHAnsi" w:hAnsiTheme="majorHAnsi"/>
        </w:rPr>
      </w:pPr>
    </w:p>
    <w:p w:rsidR="00550BC2" w:rsidRPr="00550BC2" w:rsidRDefault="00550BC2" w:rsidP="00550BC2">
      <w:pPr>
        <w:pStyle w:val="ListParagraph"/>
        <w:spacing w:after="0" w:line="240" w:lineRule="auto"/>
        <w:rPr>
          <w:rFonts w:asciiTheme="majorHAnsi" w:hAnsiTheme="majorHAnsi"/>
          <w:i/>
          <w:iCs/>
        </w:rPr>
      </w:pPr>
      <w:r w:rsidRPr="00550BC2">
        <w:rPr>
          <w:rFonts w:asciiTheme="majorHAnsi" w:hAnsiTheme="majorHAnsi"/>
          <w:i/>
          <w:iCs/>
        </w:rPr>
        <w:t>Further action: You should identify and review procedures to ensure consent is properly obtained for processing children’s data.  You should also review and update your privacy notice if required.</w:t>
      </w:r>
    </w:p>
    <w:p w:rsidR="00FF4839" w:rsidRPr="00D16CA5" w:rsidRDefault="00FF4839" w:rsidP="00D16CA5">
      <w:pPr>
        <w:rPr>
          <w:rFonts w:asciiTheme="majorHAnsi" w:hAnsiTheme="majorHAnsi"/>
          <w:b/>
          <w:sz w:val="22"/>
        </w:rPr>
      </w:pPr>
    </w:p>
    <w:p w:rsidR="00FF4839" w:rsidRPr="00D16CA5" w:rsidRDefault="00FF4839" w:rsidP="00D16CA5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 w:rsidRPr="00D16CA5">
        <w:rPr>
          <w:rFonts w:asciiTheme="majorHAnsi" w:hAnsiTheme="majorHAnsi"/>
          <w:b/>
        </w:rPr>
        <w:t>Data Breaches</w:t>
      </w:r>
      <w:r w:rsidR="008D5852" w:rsidRPr="00D16CA5">
        <w:rPr>
          <w:rFonts w:asciiTheme="majorHAnsi" w:hAnsiTheme="majorHAnsi"/>
          <w:b/>
          <w:bCs/>
        </w:rPr>
        <w:t xml:space="preserve"> - </w:t>
      </w:r>
      <w:r w:rsidR="00C374E4" w:rsidRPr="00D16CA5">
        <w:rPr>
          <w:rFonts w:asciiTheme="majorHAnsi" w:hAnsiTheme="majorHAnsi"/>
          <w:b/>
          <w:bCs/>
          <w:color w:val="E46C0A"/>
        </w:rPr>
        <w:t>PARTIALLY COMPLIANT</w:t>
      </w:r>
    </w:p>
    <w:p w:rsidR="00FF4839" w:rsidRPr="00D16CA5" w:rsidRDefault="00FF4839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FF4839" w:rsidRPr="00D16CA5" w:rsidRDefault="00DF5AF5" w:rsidP="00D16CA5">
      <w:pPr>
        <w:pStyle w:val="ListParagraph"/>
        <w:spacing w:after="0" w:line="240" w:lineRule="auto"/>
        <w:rPr>
          <w:rFonts w:asciiTheme="majorHAnsi" w:hAnsiTheme="majorHAnsi"/>
        </w:rPr>
      </w:pPr>
      <w:r w:rsidRPr="00D16CA5">
        <w:rPr>
          <w:rFonts w:asciiTheme="majorHAnsi" w:hAnsiTheme="majorHAnsi"/>
        </w:rPr>
        <w:t>Your practice</w:t>
      </w:r>
      <w:r w:rsidR="00FF4839" w:rsidRPr="00D16CA5">
        <w:rPr>
          <w:rFonts w:asciiTheme="majorHAnsi" w:hAnsiTheme="majorHAnsi"/>
        </w:rPr>
        <w:t xml:space="preserve"> </w:t>
      </w:r>
      <w:r w:rsidR="00995F67" w:rsidRPr="00D16CA5">
        <w:rPr>
          <w:rFonts w:asciiTheme="majorHAnsi" w:hAnsiTheme="majorHAnsi"/>
        </w:rPr>
        <w:t xml:space="preserve">should </w:t>
      </w:r>
      <w:r w:rsidR="00FF4839" w:rsidRPr="00D16CA5">
        <w:rPr>
          <w:rFonts w:asciiTheme="majorHAnsi" w:hAnsiTheme="majorHAnsi"/>
        </w:rPr>
        <w:t>already ha</w:t>
      </w:r>
      <w:r w:rsidR="00995F67" w:rsidRPr="00D16CA5">
        <w:rPr>
          <w:rFonts w:asciiTheme="majorHAnsi" w:hAnsiTheme="majorHAnsi"/>
        </w:rPr>
        <w:t>ve</w:t>
      </w:r>
      <w:r w:rsidR="00FF4839" w:rsidRPr="00D16CA5">
        <w:rPr>
          <w:rFonts w:asciiTheme="majorHAnsi" w:hAnsiTheme="majorHAnsi"/>
        </w:rPr>
        <w:t xml:space="preserve"> robust </w:t>
      </w:r>
      <w:r w:rsidR="0073450E" w:rsidRPr="00D16CA5">
        <w:rPr>
          <w:rFonts w:asciiTheme="majorHAnsi" w:hAnsiTheme="majorHAnsi"/>
        </w:rPr>
        <w:t xml:space="preserve">incident </w:t>
      </w:r>
      <w:r w:rsidR="00FF4839" w:rsidRPr="00D16CA5">
        <w:rPr>
          <w:rFonts w:asciiTheme="majorHAnsi" w:hAnsiTheme="majorHAnsi"/>
        </w:rPr>
        <w:t>reporting procedures in operation.</w:t>
      </w:r>
      <w:r w:rsidR="00C374E4">
        <w:rPr>
          <w:rFonts w:asciiTheme="majorHAnsi" w:hAnsiTheme="majorHAnsi"/>
        </w:rPr>
        <w:t xml:space="preserve">   All staff should know how to report a data breach.  Under GDPR all personal data breaches must be reported to the ICO through the IG Toolkit incident reporting tool within 72 hours.  </w:t>
      </w:r>
      <w:r w:rsidR="00FF4839" w:rsidRPr="00D16CA5">
        <w:rPr>
          <w:rFonts w:asciiTheme="majorHAnsi" w:hAnsiTheme="majorHAnsi"/>
        </w:rPr>
        <w:t xml:space="preserve"> </w:t>
      </w:r>
    </w:p>
    <w:p w:rsidR="008D5852" w:rsidRPr="00D16CA5" w:rsidRDefault="008D5852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8D5852" w:rsidRPr="00D16CA5" w:rsidRDefault="008D5852" w:rsidP="00D16CA5">
      <w:pPr>
        <w:pStyle w:val="ListParagraph"/>
        <w:spacing w:after="0" w:line="240" w:lineRule="auto"/>
        <w:rPr>
          <w:rFonts w:asciiTheme="majorHAnsi" w:hAnsiTheme="majorHAnsi"/>
          <w:i/>
        </w:rPr>
      </w:pPr>
      <w:r w:rsidRPr="00D16CA5">
        <w:rPr>
          <w:rFonts w:asciiTheme="majorHAnsi" w:hAnsiTheme="majorHAnsi"/>
          <w:i/>
        </w:rPr>
        <w:t xml:space="preserve">Further action: </w:t>
      </w:r>
      <w:r w:rsidR="00C374E4">
        <w:rPr>
          <w:rFonts w:asciiTheme="majorHAnsi" w:hAnsiTheme="majorHAnsi"/>
          <w:i/>
        </w:rPr>
        <w:t xml:space="preserve"> Ensure you have the right procedures in place to </w:t>
      </w:r>
      <w:r w:rsidR="00B06FAE">
        <w:rPr>
          <w:rFonts w:asciiTheme="majorHAnsi" w:hAnsiTheme="majorHAnsi"/>
          <w:i/>
        </w:rPr>
        <w:t>detect,</w:t>
      </w:r>
      <w:r w:rsidR="00C374E4">
        <w:rPr>
          <w:rFonts w:asciiTheme="majorHAnsi" w:hAnsiTheme="majorHAnsi"/>
          <w:i/>
        </w:rPr>
        <w:t xml:space="preserve"> report and investigate a personal data breach.  </w:t>
      </w:r>
      <w:r w:rsidR="00463775">
        <w:rPr>
          <w:rFonts w:asciiTheme="majorHAnsi" w:hAnsiTheme="majorHAnsi"/>
          <w:i/>
        </w:rPr>
        <w:t xml:space="preserve"> Ensure staff know who to report a data breach to.</w:t>
      </w:r>
    </w:p>
    <w:p w:rsidR="00FF4839" w:rsidRPr="00D16CA5" w:rsidRDefault="00FF4839" w:rsidP="00D16CA5">
      <w:pPr>
        <w:rPr>
          <w:rFonts w:asciiTheme="majorHAnsi" w:hAnsiTheme="majorHAnsi"/>
          <w:sz w:val="22"/>
        </w:rPr>
      </w:pPr>
    </w:p>
    <w:p w:rsidR="00FF4839" w:rsidRPr="00D16CA5" w:rsidRDefault="00FF4839" w:rsidP="00D16CA5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 w:rsidRPr="00D16CA5">
        <w:rPr>
          <w:rFonts w:asciiTheme="majorHAnsi" w:hAnsiTheme="majorHAnsi"/>
          <w:b/>
        </w:rPr>
        <w:t>Data Protection by design and data protection impact assessments</w:t>
      </w:r>
      <w:r w:rsidR="008D5852" w:rsidRPr="00D16CA5">
        <w:rPr>
          <w:rFonts w:asciiTheme="majorHAnsi" w:hAnsiTheme="majorHAnsi"/>
          <w:b/>
        </w:rPr>
        <w:t xml:space="preserve"> </w:t>
      </w:r>
      <w:r w:rsidR="008D5852" w:rsidRPr="00D16CA5">
        <w:rPr>
          <w:rFonts w:asciiTheme="majorHAnsi" w:hAnsiTheme="majorHAnsi"/>
          <w:b/>
          <w:bCs/>
        </w:rPr>
        <w:t xml:space="preserve">– </w:t>
      </w:r>
      <w:r w:rsidR="008D5852" w:rsidRPr="00D16CA5">
        <w:rPr>
          <w:rFonts w:asciiTheme="majorHAnsi" w:hAnsiTheme="majorHAnsi"/>
          <w:b/>
          <w:bCs/>
          <w:color w:val="E46C0A"/>
        </w:rPr>
        <w:t>PARTIALLY COMPLIANT</w:t>
      </w:r>
    </w:p>
    <w:p w:rsidR="00FF4839" w:rsidRPr="00D16CA5" w:rsidRDefault="00FF4839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FF4839" w:rsidRPr="00D16CA5" w:rsidRDefault="00FF4839" w:rsidP="00D16CA5">
      <w:pPr>
        <w:pStyle w:val="ListParagraph"/>
        <w:spacing w:after="0" w:line="240" w:lineRule="auto"/>
        <w:rPr>
          <w:rFonts w:asciiTheme="majorHAnsi" w:hAnsiTheme="majorHAnsi"/>
        </w:rPr>
      </w:pPr>
      <w:r w:rsidRPr="00D16CA5">
        <w:rPr>
          <w:rFonts w:asciiTheme="majorHAnsi" w:hAnsiTheme="majorHAnsi"/>
        </w:rPr>
        <w:t>Both these element</w:t>
      </w:r>
      <w:r w:rsidR="0073450E" w:rsidRPr="00D16CA5">
        <w:rPr>
          <w:rFonts w:asciiTheme="majorHAnsi" w:hAnsiTheme="majorHAnsi"/>
        </w:rPr>
        <w:t>s</w:t>
      </w:r>
      <w:r w:rsidRPr="00D16CA5">
        <w:rPr>
          <w:rFonts w:asciiTheme="majorHAnsi" w:hAnsiTheme="majorHAnsi"/>
        </w:rPr>
        <w:t xml:space="preserve"> are designed to show that you have thought about data protection whenever you start a new project</w:t>
      </w:r>
      <w:r w:rsidR="00DF5AF5" w:rsidRPr="00D16CA5">
        <w:rPr>
          <w:rFonts w:asciiTheme="majorHAnsi" w:hAnsiTheme="majorHAnsi"/>
        </w:rPr>
        <w:t>, take on a new supplier</w:t>
      </w:r>
      <w:r w:rsidRPr="00D16CA5">
        <w:rPr>
          <w:rFonts w:asciiTheme="majorHAnsi" w:hAnsiTheme="majorHAnsi"/>
        </w:rPr>
        <w:t xml:space="preserve"> or change existing work practices.</w:t>
      </w:r>
    </w:p>
    <w:p w:rsidR="00FF4839" w:rsidRPr="00D16CA5" w:rsidRDefault="00FF4839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8D5852" w:rsidRPr="00D16CA5" w:rsidRDefault="00DF5AF5" w:rsidP="00D16CA5">
      <w:pPr>
        <w:pStyle w:val="ListParagraph"/>
        <w:spacing w:after="0" w:line="240" w:lineRule="auto"/>
        <w:rPr>
          <w:rFonts w:asciiTheme="majorHAnsi" w:hAnsiTheme="majorHAnsi"/>
        </w:rPr>
      </w:pPr>
      <w:r w:rsidRPr="00D16CA5">
        <w:rPr>
          <w:rFonts w:asciiTheme="majorHAnsi" w:hAnsiTheme="majorHAnsi"/>
        </w:rPr>
        <w:t xml:space="preserve">Currently your practice is required to carry out a risk assessment before introducing a new system or supplier.  GDPR requires </w:t>
      </w:r>
      <w:r w:rsidR="00FF4839" w:rsidRPr="00D16CA5">
        <w:rPr>
          <w:rFonts w:asciiTheme="majorHAnsi" w:hAnsiTheme="majorHAnsi"/>
        </w:rPr>
        <w:t xml:space="preserve">the </w:t>
      </w:r>
      <w:r w:rsidR="00463775">
        <w:rPr>
          <w:rFonts w:asciiTheme="majorHAnsi" w:hAnsiTheme="majorHAnsi"/>
        </w:rPr>
        <w:t xml:space="preserve">completion of Data </w:t>
      </w:r>
      <w:r w:rsidR="00666CD8">
        <w:rPr>
          <w:rFonts w:asciiTheme="majorHAnsi" w:hAnsiTheme="majorHAnsi"/>
        </w:rPr>
        <w:t xml:space="preserve">Protection </w:t>
      </w:r>
      <w:r w:rsidR="00666CD8" w:rsidRPr="00D16CA5">
        <w:rPr>
          <w:rFonts w:asciiTheme="majorHAnsi" w:hAnsiTheme="majorHAnsi"/>
        </w:rPr>
        <w:t>Impact</w:t>
      </w:r>
      <w:r w:rsidR="00FF4839" w:rsidRPr="00D16CA5">
        <w:rPr>
          <w:rFonts w:asciiTheme="majorHAnsi" w:hAnsiTheme="majorHAnsi"/>
        </w:rPr>
        <w:t xml:space="preserve"> Assessments</w:t>
      </w:r>
      <w:r w:rsidR="00511ABE" w:rsidRPr="00D16CA5">
        <w:rPr>
          <w:rFonts w:asciiTheme="majorHAnsi" w:hAnsiTheme="majorHAnsi"/>
        </w:rPr>
        <w:t xml:space="preserve"> (</w:t>
      </w:r>
      <w:r w:rsidR="00463775">
        <w:rPr>
          <w:rFonts w:asciiTheme="majorHAnsi" w:hAnsiTheme="majorHAnsi"/>
        </w:rPr>
        <w:t>D</w:t>
      </w:r>
      <w:r w:rsidR="00511ABE" w:rsidRPr="00D16CA5">
        <w:rPr>
          <w:rFonts w:asciiTheme="majorHAnsi" w:hAnsiTheme="majorHAnsi"/>
        </w:rPr>
        <w:t>PIAs)</w:t>
      </w:r>
      <w:r w:rsidR="002B33D4" w:rsidRPr="00D16CA5">
        <w:rPr>
          <w:rFonts w:asciiTheme="majorHAnsi" w:hAnsiTheme="majorHAnsi"/>
        </w:rPr>
        <w:t xml:space="preserve"> to anticipate and address the likely </w:t>
      </w:r>
      <w:r w:rsidR="002A7DF4" w:rsidRPr="00D16CA5">
        <w:rPr>
          <w:rFonts w:asciiTheme="majorHAnsi" w:hAnsiTheme="majorHAnsi"/>
        </w:rPr>
        <w:t xml:space="preserve">impact of a new initiative on </w:t>
      </w:r>
      <w:r w:rsidR="002B33D4" w:rsidRPr="00D16CA5">
        <w:rPr>
          <w:rFonts w:asciiTheme="majorHAnsi" w:hAnsiTheme="majorHAnsi"/>
        </w:rPr>
        <w:t>an individuals’ privacy</w:t>
      </w:r>
      <w:r w:rsidR="00FF4839" w:rsidRPr="00D16CA5">
        <w:rPr>
          <w:rFonts w:asciiTheme="majorHAnsi" w:hAnsiTheme="majorHAnsi"/>
        </w:rPr>
        <w:t xml:space="preserve">. </w:t>
      </w:r>
      <w:r w:rsidR="00463775">
        <w:rPr>
          <w:rFonts w:asciiTheme="majorHAnsi" w:hAnsiTheme="majorHAnsi"/>
        </w:rPr>
        <w:t xml:space="preserve"> Further advice should be sought from the ICO</w:t>
      </w:r>
      <w:r w:rsidR="00463775">
        <w:rPr>
          <w:rStyle w:val="FootnoteReference"/>
          <w:rFonts w:asciiTheme="majorHAnsi" w:hAnsiTheme="majorHAnsi"/>
        </w:rPr>
        <w:footnoteReference w:id="4"/>
      </w:r>
      <w:r w:rsidR="00463775">
        <w:rPr>
          <w:rFonts w:asciiTheme="majorHAnsi" w:hAnsiTheme="majorHAnsi"/>
        </w:rPr>
        <w:t xml:space="preserve"> where processing is considered ‘high risk’.</w:t>
      </w:r>
      <w:r w:rsidR="00C44AC2">
        <w:rPr>
          <w:rFonts w:asciiTheme="majorHAnsi" w:hAnsiTheme="majorHAnsi"/>
        </w:rPr>
        <w:t xml:space="preserve">  SCW is collaborating with NHSE to develop a national DPIA template.</w:t>
      </w:r>
    </w:p>
    <w:p w:rsidR="00D16CA5" w:rsidRPr="00D16CA5" w:rsidRDefault="00D16CA5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FF4839" w:rsidRDefault="008D5852" w:rsidP="00D16CA5">
      <w:pPr>
        <w:pStyle w:val="ListParagraph"/>
        <w:spacing w:after="0" w:line="240" w:lineRule="auto"/>
        <w:rPr>
          <w:rFonts w:asciiTheme="majorHAnsi" w:hAnsiTheme="majorHAnsi"/>
          <w:i/>
        </w:rPr>
      </w:pPr>
      <w:r w:rsidRPr="00D16CA5">
        <w:rPr>
          <w:rFonts w:asciiTheme="majorHAnsi" w:hAnsiTheme="majorHAnsi"/>
          <w:i/>
        </w:rPr>
        <w:t xml:space="preserve">Further action: </w:t>
      </w:r>
      <w:r w:rsidR="00F07D4D">
        <w:rPr>
          <w:rFonts w:asciiTheme="majorHAnsi" w:hAnsiTheme="majorHAnsi"/>
          <w:i/>
        </w:rPr>
        <w:t>Introduce u</w:t>
      </w:r>
      <w:r w:rsidR="00511ABE" w:rsidRPr="00D16CA5">
        <w:rPr>
          <w:rFonts w:asciiTheme="majorHAnsi" w:hAnsiTheme="majorHAnsi"/>
          <w:i/>
        </w:rPr>
        <w:t xml:space="preserve">se of </w:t>
      </w:r>
      <w:r w:rsidR="00463775">
        <w:rPr>
          <w:rFonts w:asciiTheme="majorHAnsi" w:hAnsiTheme="majorHAnsi"/>
          <w:i/>
        </w:rPr>
        <w:t>D</w:t>
      </w:r>
      <w:r w:rsidR="00511ABE" w:rsidRPr="00D16CA5">
        <w:rPr>
          <w:rFonts w:asciiTheme="majorHAnsi" w:hAnsiTheme="majorHAnsi"/>
          <w:i/>
        </w:rPr>
        <w:t>PIA</w:t>
      </w:r>
      <w:r w:rsidR="00F07D4D">
        <w:rPr>
          <w:rFonts w:asciiTheme="majorHAnsi" w:hAnsiTheme="majorHAnsi"/>
          <w:i/>
        </w:rPr>
        <w:t>s</w:t>
      </w:r>
      <w:r w:rsidR="00511ABE" w:rsidRPr="00D16CA5">
        <w:rPr>
          <w:rFonts w:asciiTheme="majorHAnsi" w:hAnsiTheme="majorHAnsi"/>
          <w:i/>
        </w:rPr>
        <w:t xml:space="preserve"> for any new activities </w:t>
      </w:r>
      <w:r w:rsidR="002A7DF4" w:rsidRPr="00D16CA5">
        <w:rPr>
          <w:rFonts w:asciiTheme="majorHAnsi" w:hAnsiTheme="majorHAnsi"/>
          <w:i/>
        </w:rPr>
        <w:t>initiated by your practice</w:t>
      </w:r>
      <w:r w:rsidR="002A7DF4" w:rsidRPr="00D16CA5">
        <w:rPr>
          <w:rStyle w:val="FootnoteReference"/>
          <w:rFonts w:asciiTheme="majorHAnsi" w:hAnsiTheme="majorHAnsi"/>
          <w:i/>
        </w:rPr>
        <w:footnoteReference w:id="5"/>
      </w:r>
      <w:r w:rsidR="002A7DF4" w:rsidRPr="00D16CA5">
        <w:rPr>
          <w:rFonts w:asciiTheme="majorHAnsi" w:hAnsiTheme="majorHAnsi"/>
          <w:i/>
        </w:rPr>
        <w:t xml:space="preserve"> </w:t>
      </w:r>
      <w:r w:rsidR="00511ABE" w:rsidRPr="00D16CA5">
        <w:rPr>
          <w:rFonts w:asciiTheme="majorHAnsi" w:hAnsiTheme="majorHAnsi"/>
          <w:i/>
        </w:rPr>
        <w:t>that involve processing or sharing patient information</w:t>
      </w:r>
      <w:r w:rsidR="00084CFC" w:rsidRPr="00D16CA5">
        <w:rPr>
          <w:rFonts w:asciiTheme="majorHAnsi" w:hAnsiTheme="majorHAnsi"/>
          <w:i/>
        </w:rPr>
        <w:t xml:space="preserve">.  </w:t>
      </w:r>
    </w:p>
    <w:p w:rsidR="00471CE3" w:rsidRPr="00D16CA5" w:rsidRDefault="00471CE3" w:rsidP="00D16CA5">
      <w:pPr>
        <w:pStyle w:val="ListParagraph"/>
        <w:spacing w:after="0" w:line="240" w:lineRule="auto"/>
        <w:rPr>
          <w:rFonts w:asciiTheme="majorHAnsi" w:hAnsiTheme="majorHAnsi"/>
          <w:i/>
        </w:rPr>
      </w:pPr>
    </w:p>
    <w:p w:rsidR="00FF4839" w:rsidRPr="00D16CA5" w:rsidRDefault="00FF4839" w:rsidP="00471CE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 w:rsidRPr="00D16CA5">
        <w:rPr>
          <w:rFonts w:asciiTheme="majorHAnsi" w:hAnsiTheme="majorHAnsi"/>
          <w:b/>
        </w:rPr>
        <w:t>Data Protection Officer</w:t>
      </w:r>
      <w:r w:rsidR="008D5852" w:rsidRPr="00D16CA5">
        <w:rPr>
          <w:rFonts w:asciiTheme="majorHAnsi" w:hAnsiTheme="majorHAnsi"/>
          <w:b/>
          <w:bCs/>
        </w:rPr>
        <w:t xml:space="preserve"> – </w:t>
      </w:r>
      <w:r w:rsidR="008D5852" w:rsidRPr="00D16CA5">
        <w:rPr>
          <w:rFonts w:asciiTheme="majorHAnsi" w:hAnsiTheme="majorHAnsi"/>
          <w:b/>
          <w:bCs/>
          <w:color w:val="E46C0A"/>
        </w:rPr>
        <w:t>PARTIALLY COMPLIANT</w:t>
      </w:r>
    </w:p>
    <w:p w:rsidR="00FF4839" w:rsidRPr="00D16CA5" w:rsidRDefault="00FF4839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275B2E" w:rsidRDefault="003729E4" w:rsidP="00D16CA5">
      <w:pPr>
        <w:pStyle w:val="ListParagraph"/>
        <w:spacing w:after="0" w:line="240" w:lineRule="auto"/>
        <w:rPr>
          <w:rFonts w:asciiTheme="majorHAnsi" w:hAnsiTheme="majorHAnsi"/>
        </w:rPr>
      </w:pPr>
      <w:r w:rsidRPr="00D16CA5">
        <w:rPr>
          <w:rFonts w:asciiTheme="majorHAnsi" w:hAnsiTheme="majorHAnsi"/>
        </w:rPr>
        <w:t xml:space="preserve">Public Authorities and organisations that carry out large scale processing </w:t>
      </w:r>
      <w:r w:rsidR="00E21AA8" w:rsidRPr="00D16CA5">
        <w:rPr>
          <w:rFonts w:asciiTheme="majorHAnsi" w:hAnsiTheme="majorHAnsi"/>
        </w:rPr>
        <w:t xml:space="preserve">are required </w:t>
      </w:r>
      <w:r w:rsidRPr="00D16CA5">
        <w:rPr>
          <w:rFonts w:asciiTheme="majorHAnsi" w:hAnsiTheme="majorHAnsi"/>
        </w:rPr>
        <w:t>to appoint</w:t>
      </w:r>
      <w:r w:rsidR="00FF4839" w:rsidRPr="00D16CA5">
        <w:rPr>
          <w:rFonts w:asciiTheme="majorHAnsi" w:hAnsiTheme="majorHAnsi"/>
        </w:rPr>
        <w:t xml:space="preserve"> a designated Data Protection Officer (DPO)</w:t>
      </w:r>
      <w:r w:rsidR="00E21AA8" w:rsidRPr="00D16CA5">
        <w:rPr>
          <w:rFonts w:asciiTheme="majorHAnsi" w:hAnsiTheme="majorHAnsi"/>
        </w:rPr>
        <w:t xml:space="preserve"> who has a good understanding of the organisation’s business and how it processes personal data</w:t>
      </w:r>
      <w:r w:rsidRPr="00D16CA5">
        <w:rPr>
          <w:rFonts w:asciiTheme="majorHAnsi" w:hAnsiTheme="majorHAnsi"/>
        </w:rPr>
        <w:t>.</w:t>
      </w:r>
      <w:r w:rsidR="00FF4839" w:rsidRPr="00D16CA5">
        <w:rPr>
          <w:rFonts w:asciiTheme="majorHAnsi" w:hAnsiTheme="majorHAnsi"/>
        </w:rPr>
        <w:t xml:space="preserve"> </w:t>
      </w:r>
      <w:r w:rsidRPr="00D16CA5">
        <w:rPr>
          <w:rFonts w:asciiTheme="majorHAnsi" w:hAnsiTheme="majorHAnsi"/>
        </w:rPr>
        <w:t xml:space="preserve"> </w:t>
      </w:r>
      <w:r w:rsidR="00E21AA8" w:rsidRPr="00D16CA5">
        <w:rPr>
          <w:rFonts w:asciiTheme="majorHAnsi" w:hAnsiTheme="majorHAnsi"/>
        </w:rPr>
        <w:t xml:space="preserve"> This role may be shared by multiple organisations depending on their organisational structure and size</w:t>
      </w:r>
      <w:r w:rsidR="00471CE3">
        <w:rPr>
          <w:rFonts w:asciiTheme="majorHAnsi" w:hAnsiTheme="majorHAnsi"/>
        </w:rPr>
        <w:t xml:space="preserve"> and must be undertaken by an individual where there is no conflict of interest</w:t>
      </w:r>
      <w:r w:rsidR="00E21AA8" w:rsidRPr="00D16CA5">
        <w:rPr>
          <w:rFonts w:asciiTheme="majorHAnsi" w:hAnsiTheme="majorHAnsi"/>
        </w:rPr>
        <w:t xml:space="preserve">.   </w:t>
      </w:r>
      <w:r w:rsidR="00463775">
        <w:rPr>
          <w:rFonts w:asciiTheme="majorHAnsi" w:hAnsiTheme="majorHAnsi"/>
        </w:rPr>
        <w:t>Further clarification is awaited on</w:t>
      </w:r>
      <w:r w:rsidR="0070452C" w:rsidRPr="00D16CA5">
        <w:rPr>
          <w:rFonts w:asciiTheme="majorHAnsi" w:hAnsiTheme="majorHAnsi"/>
        </w:rPr>
        <w:t xml:space="preserve"> </w:t>
      </w:r>
      <w:r w:rsidR="00B0665B">
        <w:rPr>
          <w:rFonts w:asciiTheme="majorHAnsi" w:hAnsiTheme="majorHAnsi"/>
        </w:rPr>
        <w:t>what this means</w:t>
      </w:r>
      <w:r w:rsidR="0070452C" w:rsidRPr="00D16CA5">
        <w:rPr>
          <w:rFonts w:asciiTheme="majorHAnsi" w:hAnsiTheme="majorHAnsi"/>
        </w:rPr>
        <w:t xml:space="preserve"> f</w:t>
      </w:r>
      <w:r w:rsidR="00E21AA8" w:rsidRPr="00D16CA5">
        <w:rPr>
          <w:rFonts w:asciiTheme="majorHAnsi" w:hAnsiTheme="majorHAnsi"/>
        </w:rPr>
        <w:t xml:space="preserve">or GP practices.  </w:t>
      </w:r>
    </w:p>
    <w:p w:rsidR="00275B2E" w:rsidRDefault="00275B2E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FF4839" w:rsidRPr="00D16CA5" w:rsidRDefault="00275B2E" w:rsidP="00D16CA5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FF4839" w:rsidRPr="00D16CA5">
        <w:rPr>
          <w:rFonts w:asciiTheme="majorHAnsi" w:hAnsiTheme="majorHAnsi"/>
        </w:rPr>
        <w:t>ll organisations need someone who take</w:t>
      </w:r>
      <w:r w:rsidR="003729E4" w:rsidRPr="00D16CA5">
        <w:rPr>
          <w:rFonts w:asciiTheme="majorHAnsi" w:hAnsiTheme="majorHAnsi"/>
        </w:rPr>
        <w:t>s</w:t>
      </w:r>
      <w:r w:rsidR="00FF4839" w:rsidRPr="00D16CA5">
        <w:rPr>
          <w:rFonts w:asciiTheme="majorHAnsi" w:hAnsiTheme="majorHAnsi"/>
        </w:rPr>
        <w:t xml:space="preserve"> responsibility for data protection matters</w:t>
      </w:r>
      <w:r w:rsidR="0070452C" w:rsidRPr="00D16CA5">
        <w:rPr>
          <w:rFonts w:asciiTheme="majorHAnsi" w:hAnsiTheme="majorHAnsi"/>
        </w:rPr>
        <w:t xml:space="preserve">, even if </w:t>
      </w:r>
      <w:r w:rsidR="00405E1E">
        <w:rPr>
          <w:rFonts w:asciiTheme="majorHAnsi" w:hAnsiTheme="majorHAnsi"/>
        </w:rPr>
        <w:t>they</w:t>
      </w:r>
      <w:r w:rsidR="0070452C" w:rsidRPr="00D16CA5">
        <w:rPr>
          <w:rFonts w:asciiTheme="majorHAnsi" w:hAnsiTheme="majorHAnsi"/>
        </w:rPr>
        <w:t xml:space="preserve"> are not formally required to designate a DPO.</w:t>
      </w:r>
      <w:r w:rsidR="00FF4839" w:rsidRPr="00D16CA5">
        <w:rPr>
          <w:rFonts w:asciiTheme="majorHAnsi" w:hAnsiTheme="majorHAnsi"/>
        </w:rPr>
        <w:t xml:space="preserve"> </w:t>
      </w:r>
      <w:r w:rsidR="00E21AA8" w:rsidRPr="00D16CA5">
        <w:rPr>
          <w:rFonts w:asciiTheme="majorHAnsi" w:hAnsiTheme="majorHAnsi"/>
        </w:rPr>
        <w:t xml:space="preserve">  </w:t>
      </w:r>
    </w:p>
    <w:p w:rsidR="008D5852" w:rsidRPr="00405E1E" w:rsidRDefault="008D5852" w:rsidP="00405E1E">
      <w:pPr>
        <w:rPr>
          <w:rFonts w:asciiTheme="majorHAnsi" w:hAnsiTheme="majorHAnsi"/>
        </w:rPr>
      </w:pPr>
    </w:p>
    <w:p w:rsidR="008D5852" w:rsidRPr="00D16CA5" w:rsidRDefault="008D5852" w:rsidP="00D16CA5">
      <w:pPr>
        <w:pStyle w:val="ListParagraph"/>
        <w:spacing w:after="0" w:line="240" w:lineRule="auto"/>
        <w:rPr>
          <w:rFonts w:asciiTheme="majorHAnsi" w:hAnsiTheme="majorHAnsi"/>
          <w:i/>
        </w:rPr>
      </w:pPr>
      <w:r w:rsidRPr="00D16CA5">
        <w:rPr>
          <w:rFonts w:asciiTheme="majorHAnsi" w:hAnsiTheme="majorHAnsi"/>
          <w:i/>
        </w:rPr>
        <w:t xml:space="preserve">Further action: </w:t>
      </w:r>
      <w:r w:rsidR="00DA3EE9" w:rsidRPr="00D16CA5">
        <w:rPr>
          <w:rFonts w:asciiTheme="majorHAnsi" w:hAnsiTheme="majorHAnsi"/>
          <w:i/>
        </w:rPr>
        <w:t xml:space="preserve">  Identify who takes responsibility for data protection in your Practice.  This could be your IG Lead or IT Manager.</w:t>
      </w:r>
      <w:r w:rsidR="0070452C" w:rsidRPr="00D16CA5">
        <w:rPr>
          <w:rFonts w:asciiTheme="majorHAnsi" w:hAnsiTheme="majorHAnsi"/>
          <w:i/>
        </w:rPr>
        <w:t xml:space="preserve"> </w:t>
      </w:r>
      <w:r w:rsidR="00B0665B">
        <w:rPr>
          <w:rFonts w:asciiTheme="majorHAnsi" w:hAnsiTheme="majorHAnsi"/>
          <w:i/>
        </w:rPr>
        <w:t>Aw</w:t>
      </w:r>
      <w:r w:rsidRPr="00D16CA5">
        <w:rPr>
          <w:rFonts w:asciiTheme="majorHAnsi" w:hAnsiTheme="majorHAnsi"/>
          <w:i/>
        </w:rPr>
        <w:t xml:space="preserve">ait </w:t>
      </w:r>
      <w:r w:rsidR="00B0665B">
        <w:rPr>
          <w:rFonts w:asciiTheme="majorHAnsi" w:hAnsiTheme="majorHAnsi"/>
          <w:i/>
        </w:rPr>
        <w:t>further</w:t>
      </w:r>
      <w:r w:rsidRPr="00D16CA5">
        <w:rPr>
          <w:rFonts w:asciiTheme="majorHAnsi" w:hAnsiTheme="majorHAnsi"/>
          <w:i/>
        </w:rPr>
        <w:t xml:space="preserve"> guidance</w:t>
      </w:r>
      <w:r w:rsidR="0070452C" w:rsidRPr="00D16CA5">
        <w:rPr>
          <w:rFonts w:asciiTheme="majorHAnsi" w:hAnsiTheme="majorHAnsi"/>
          <w:i/>
        </w:rPr>
        <w:t xml:space="preserve"> regarding th</w:t>
      </w:r>
      <w:r w:rsidR="00B0665B">
        <w:rPr>
          <w:rFonts w:asciiTheme="majorHAnsi" w:hAnsiTheme="majorHAnsi"/>
          <w:i/>
        </w:rPr>
        <w:t xml:space="preserve">e </w:t>
      </w:r>
      <w:r w:rsidR="0070452C" w:rsidRPr="00D16CA5">
        <w:rPr>
          <w:rFonts w:asciiTheme="majorHAnsi" w:hAnsiTheme="majorHAnsi"/>
          <w:i/>
        </w:rPr>
        <w:t>requirement to designate a DPO.</w:t>
      </w:r>
    </w:p>
    <w:p w:rsidR="00FF4839" w:rsidRPr="00D16CA5" w:rsidRDefault="00FF4839" w:rsidP="00D16CA5">
      <w:pPr>
        <w:rPr>
          <w:rFonts w:asciiTheme="majorHAnsi" w:hAnsiTheme="majorHAnsi"/>
          <w:sz w:val="22"/>
        </w:rPr>
      </w:pPr>
    </w:p>
    <w:p w:rsidR="008D5852" w:rsidRPr="00D16CA5" w:rsidRDefault="00FF4839" w:rsidP="00D16CA5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/>
          <w:bCs/>
        </w:rPr>
      </w:pPr>
      <w:r w:rsidRPr="00D16CA5">
        <w:rPr>
          <w:rFonts w:asciiTheme="majorHAnsi" w:hAnsiTheme="majorHAnsi"/>
          <w:b/>
        </w:rPr>
        <w:t>International</w:t>
      </w:r>
      <w:r w:rsidR="008D5852" w:rsidRPr="00D16CA5">
        <w:rPr>
          <w:rFonts w:asciiTheme="majorHAnsi" w:hAnsiTheme="majorHAnsi"/>
          <w:b/>
          <w:bCs/>
        </w:rPr>
        <w:t xml:space="preserve"> - </w:t>
      </w:r>
      <w:r w:rsidR="00B0665B" w:rsidRPr="00D16CA5">
        <w:rPr>
          <w:rFonts w:asciiTheme="majorHAnsi" w:hAnsiTheme="majorHAnsi"/>
          <w:b/>
          <w:bCs/>
          <w:color w:val="E46C0A"/>
        </w:rPr>
        <w:t>PARTIALLY COMPLIANT</w:t>
      </w:r>
    </w:p>
    <w:p w:rsidR="00FF4839" w:rsidRPr="00D16CA5" w:rsidRDefault="00FF4839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FF4839" w:rsidRPr="00D16CA5" w:rsidRDefault="00FF4839" w:rsidP="00D16CA5">
      <w:pPr>
        <w:pStyle w:val="ListParagraph"/>
        <w:spacing w:after="0" w:line="240" w:lineRule="auto"/>
        <w:rPr>
          <w:rFonts w:asciiTheme="majorHAnsi" w:hAnsiTheme="majorHAnsi"/>
        </w:rPr>
      </w:pPr>
      <w:r w:rsidRPr="00D16CA5">
        <w:rPr>
          <w:rFonts w:asciiTheme="majorHAnsi" w:hAnsiTheme="majorHAnsi"/>
        </w:rPr>
        <w:t xml:space="preserve">This </w:t>
      </w:r>
      <w:r w:rsidR="00B0665B">
        <w:rPr>
          <w:rFonts w:asciiTheme="majorHAnsi" w:hAnsiTheme="majorHAnsi"/>
        </w:rPr>
        <w:t>may impact on</w:t>
      </w:r>
      <w:r w:rsidRPr="00D16CA5">
        <w:rPr>
          <w:rFonts w:asciiTheme="majorHAnsi" w:hAnsiTheme="majorHAnsi"/>
        </w:rPr>
        <w:t xml:space="preserve"> </w:t>
      </w:r>
      <w:r w:rsidR="00DF5AF5" w:rsidRPr="00D16CA5">
        <w:rPr>
          <w:rFonts w:asciiTheme="majorHAnsi" w:hAnsiTheme="majorHAnsi"/>
        </w:rPr>
        <w:t>your Practice</w:t>
      </w:r>
      <w:r w:rsidR="00B0665B">
        <w:rPr>
          <w:rFonts w:asciiTheme="majorHAnsi" w:hAnsiTheme="majorHAnsi"/>
        </w:rPr>
        <w:t xml:space="preserve"> if any data is processed outside of the European Economic Area (EEA)</w:t>
      </w:r>
      <w:r w:rsidR="00DF5AF5" w:rsidRPr="00D16CA5">
        <w:rPr>
          <w:rFonts w:asciiTheme="majorHAnsi" w:hAnsiTheme="majorHAnsi"/>
        </w:rPr>
        <w:t>.</w:t>
      </w:r>
    </w:p>
    <w:p w:rsidR="008D5852" w:rsidRPr="00D16CA5" w:rsidRDefault="008D5852" w:rsidP="00D16CA5">
      <w:pPr>
        <w:pStyle w:val="ListParagraph"/>
        <w:spacing w:after="0" w:line="240" w:lineRule="auto"/>
        <w:rPr>
          <w:rFonts w:asciiTheme="majorHAnsi" w:hAnsiTheme="majorHAnsi"/>
        </w:rPr>
      </w:pPr>
    </w:p>
    <w:p w:rsidR="008D5852" w:rsidRPr="00D16CA5" w:rsidRDefault="008D5852" w:rsidP="00D16CA5">
      <w:pPr>
        <w:pStyle w:val="ListParagraph"/>
        <w:spacing w:after="0" w:line="240" w:lineRule="auto"/>
        <w:rPr>
          <w:rFonts w:asciiTheme="majorHAnsi" w:hAnsiTheme="majorHAnsi"/>
          <w:i/>
        </w:rPr>
      </w:pPr>
      <w:r w:rsidRPr="00D16CA5">
        <w:rPr>
          <w:rFonts w:asciiTheme="majorHAnsi" w:hAnsiTheme="majorHAnsi"/>
          <w:i/>
        </w:rPr>
        <w:t xml:space="preserve">Further action: </w:t>
      </w:r>
      <w:r w:rsidR="00B0665B">
        <w:rPr>
          <w:rFonts w:asciiTheme="majorHAnsi" w:hAnsiTheme="majorHAnsi"/>
          <w:i/>
        </w:rPr>
        <w:t>Review all data flow</w:t>
      </w:r>
      <w:r w:rsidR="00C44AC2">
        <w:rPr>
          <w:rFonts w:asciiTheme="majorHAnsi" w:hAnsiTheme="majorHAnsi"/>
          <w:i/>
        </w:rPr>
        <w:t>s</w:t>
      </w:r>
      <w:r w:rsidR="00B0665B">
        <w:rPr>
          <w:rFonts w:asciiTheme="majorHAnsi" w:hAnsiTheme="majorHAnsi"/>
          <w:i/>
        </w:rPr>
        <w:t xml:space="preserve"> to determine if any data is processed outside of the EEA.</w:t>
      </w:r>
    </w:p>
    <w:p w:rsidR="00FF4839" w:rsidRPr="00D16CA5" w:rsidRDefault="00FF4839" w:rsidP="00D16CA5">
      <w:pPr>
        <w:pStyle w:val="ListParagraph"/>
        <w:spacing w:after="0" w:line="240" w:lineRule="auto"/>
        <w:rPr>
          <w:rFonts w:asciiTheme="majorHAnsi" w:hAnsiTheme="majorHAnsi"/>
        </w:rPr>
      </w:pPr>
      <w:r w:rsidRPr="00D16CA5">
        <w:rPr>
          <w:rFonts w:asciiTheme="majorHAnsi" w:hAnsiTheme="majorHAnsi"/>
        </w:rPr>
        <w:t xml:space="preserve"> </w:t>
      </w:r>
    </w:p>
    <w:p w:rsidR="00E2735D" w:rsidRPr="00D16CA5" w:rsidRDefault="00E2735D" w:rsidP="00D16CA5">
      <w:pPr>
        <w:rPr>
          <w:rFonts w:asciiTheme="majorHAnsi" w:hAnsiTheme="majorHAnsi"/>
          <w:sz w:val="22"/>
        </w:rPr>
      </w:pPr>
    </w:p>
    <w:sectPr w:rsidR="00E2735D" w:rsidRPr="00D16CA5" w:rsidSect="00886AF9">
      <w:footerReference w:type="default" r:id="rId13"/>
      <w:headerReference w:type="first" r:id="rId14"/>
      <w:footerReference w:type="first" r:id="rId15"/>
      <w:pgSz w:w="11906" w:h="16838"/>
      <w:pgMar w:top="1701" w:right="1440" w:bottom="1134" w:left="1440" w:header="0" w:footer="397" w:gutter="0"/>
      <w:pgNumType w:start="3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C2" w:rsidRDefault="00F564C2" w:rsidP="008A2FCE">
      <w:r>
        <w:separator/>
      </w:r>
    </w:p>
    <w:p w:rsidR="00F564C2" w:rsidRDefault="00F564C2" w:rsidP="008A2FCE"/>
  </w:endnote>
  <w:endnote w:type="continuationSeparator" w:id="0">
    <w:p w:rsidR="00F564C2" w:rsidRDefault="00F564C2" w:rsidP="008A2FCE">
      <w:r>
        <w:continuationSeparator/>
      </w:r>
    </w:p>
    <w:p w:rsidR="00F564C2" w:rsidRDefault="00F564C2" w:rsidP="008A2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C5" w:rsidRPr="005534C5" w:rsidRDefault="005534C5">
    <w:pPr>
      <w:pStyle w:val="Footer"/>
      <w:rPr>
        <w:sz w:val="20"/>
        <w:szCs w:val="20"/>
      </w:rPr>
    </w:pPr>
    <w:r w:rsidRPr="005534C5">
      <w:rPr>
        <w:sz w:val="20"/>
        <w:szCs w:val="20"/>
      </w:rPr>
      <w:t xml:space="preserve">South, Central &amp; West </w:t>
    </w:r>
    <w:r w:rsidR="00460ECB">
      <w:rPr>
        <w:sz w:val="20"/>
        <w:szCs w:val="20"/>
      </w:rPr>
      <w:t>– Sept 2017</w:t>
    </w:r>
    <w:r w:rsidRPr="005534C5">
      <w:rPr>
        <w:sz w:val="20"/>
        <w:szCs w:val="20"/>
      </w:rPr>
      <w:t xml:space="preserve"> </w:t>
    </w:r>
    <w:r w:rsidRPr="005534C5">
      <w:rPr>
        <w:sz w:val="20"/>
        <w:szCs w:val="20"/>
      </w:rPr>
      <w:tab/>
    </w:r>
    <w:r w:rsidRPr="005534C5">
      <w:rPr>
        <w:sz w:val="20"/>
        <w:szCs w:val="20"/>
      </w:rPr>
      <w:tab/>
    </w:r>
    <w:sdt>
      <w:sdtPr>
        <w:rPr>
          <w:sz w:val="20"/>
          <w:szCs w:val="20"/>
        </w:rPr>
        <w:id w:val="21015983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534C5">
          <w:rPr>
            <w:sz w:val="20"/>
            <w:szCs w:val="20"/>
          </w:rPr>
          <w:t xml:space="preserve">Page | </w:t>
        </w:r>
        <w:r w:rsidRPr="005534C5">
          <w:rPr>
            <w:sz w:val="20"/>
            <w:szCs w:val="20"/>
          </w:rPr>
          <w:fldChar w:fldCharType="begin"/>
        </w:r>
        <w:r w:rsidRPr="005534C5">
          <w:rPr>
            <w:sz w:val="20"/>
            <w:szCs w:val="20"/>
          </w:rPr>
          <w:instrText xml:space="preserve"> PAGE   \* MERGEFORMAT </w:instrText>
        </w:r>
        <w:r w:rsidRPr="005534C5">
          <w:rPr>
            <w:sz w:val="20"/>
            <w:szCs w:val="20"/>
          </w:rPr>
          <w:fldChar w:fldCharType="separate"/>
        </w:r>
        <w:r w:rsidR="00AA1898">
          <w:rPr>
            <w:noProof/>
            <w:sz w:val="20"/>
            <w:szCs w:val="20"/>
          </w:rPr>
          <w:t>1</w:t>
        </w:r>
        <w:r w:rsidRPr="005534C5">
          <w:rPr>
            <w:noProof/>
            <w:sz w:val="20"/>
            <w:szCs w:val="20"/>
          </w:rPr>
          <w:fldChar w:fldCharType="end"/>
        </w:r>
      </w:sdtContent>
    </w:sdt>
  </w:p>
  <w:p w:rsidR="00023C23" w:rsidRPr="00563C12" w:rsidRDefault="00023C23" w:rsidP="00563C12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C5" w:rsidRPr="00886AF9" w:rsidRDefault="00460ECB">
    <w:pPr>
      <w:pStyle w:val="Footer"/>
      <w:rPr>
        <w:sz w:val="20"/>
        <w:szCs w:val="20"/>
      </w:rPr>
    </w:pPr>
    <w:r w:rsidRPr="005534C5">
      <w:rPr>
        <w:sz w:val="20"/>
        <w:szCs w:val="20"/>
      </w:rPr>
      <w:t>NHS South, Central &amp; West CSU</w:t>
    </w:r>
    <w:r>
      <w:rPr>
        <w:sz w:val="20"/>
        <w:szCs w:val="20"/>
      </w:rPr>
      <w:t xml:space="preserve"> – Sept 2017</w:t>
    </w:r>
    <w:r w:rsidR="005534C5">
      <w:tab/>
    </w:r>
    <w:sdt>
      <w:sdtPr>
        <w:rPr>
          <w:sz w:val="20"/>
          <w:szCs w:val="20"/>
        </w:rPr>
        <w:id w:val="4908368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sz w:val="20"/>
            <w:szCs w:val="20"/>
          </w:rPr>
          <w:tab/>
        </w:r>
        <w:r w:rsidR="005534C5" w:rsidRPr="00886AF9">
          <w:rPr>
            <w:sz w:val="20"/>
            <w:szCs w:val="20"/>
          </w:rPr>
          <w:t xml:space="preserve">Page | </w:t>
        </w:r>
        <w:r w:rsidR="005534C5" w:rsidRPr="00886AF9">
          <w:rPr>
            <w:sz w:val="20"/>
            <w:szCs w:val="20"/>
          </w:rPr>
          <w:fldChar w:fldCharType="begin"/>
        </w:r>
        <w:r w:rsidR="005534C5" w:rsidRPr="00886AF9">
          <w:rPr>
            <w:sz w:val="20"/>
            <w:szCs w:val="20"/>
          </w:rPr>
          <w:instrText xml:space="preserve"> PAGE   \* MERGEFORMAT </w:instrText>
        </w:r>
        <w:r w:rsidR="005534C5" w:rsidRPr="00886AF9">
          <w:rPr>
            <w:sz w:val="20"/>
            <w:szCs w:val="20"/>
          </w:rPr>
          <w:fldChar w:fldCharType="separate"/>
        </w:r>
        <w:r w:rsidR="00AA1898">
          <w:rPr>
            <w:noProof/>
            <w:sz w:val="20"/>
            <w:szCs w:val="20"/>
          </w:rPr>
          <w:t>6</w:t>
        </w:r>
        <w:r w:rsidR="005534C5" w:rsidRPr="00886AF9">
          <w:rPr>
            <w:noProof/>
            <w:sz w:val="20"/>
            <w:szCs w:val="20"/>
          </w:rPr>
          <w:fldChar w:fldCharType="end"/>
        </w:r>
      </w:sdtContent>
    </w:sdt>
  </w:p>
  <w:p w:rsidR="00FF4839" w:rsidRPr="00405E1E" w:rsidRDefault="00FF4839" w:rsidP="008A2FCE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39" w:rsidRPr="000B28B6" w:rsidRDefault="00460ECB" w:rsidP="008A2FCE">
    <w:pPr>
      <w:pStyle w:val="Footer"/>
    </w:pPr>
    <w:r w:rsidRPr="005534C5">
      <w:rPr>
        <w:sz w:val="20"/>
        <w:szCs w:val="20"/>
      </w:rPr>
      <w:t>NHS South, Central &amp; West CSU</w:t>
    </w:r>
    <w:r>
      <w:rPr>
        <w:sz w:val="20"/>
        <w:szCs w:val="20"/>
      </w:rPr>
      <w:t xml:space="preserve"> – Sept 2017</w:t>
    </w:r>
    <w:r w:rsidR="00FF4839">
      <w:tab/>
    </w:r>
    <w:r>
      <w:tab/>
    </w:r>
    <w:r w:rsidR="00FF4839" w:rsidRPr="002569FF">
      <w:rPr>
        <w:sz w:val="20"/>
      </w:rPr>
      <w:t xml:space="preserve">Page | </w:t>
    </w:r>
    <w:r w:rsidR="00023C23"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C2" w:rsidRDefault="00F564C2" w:rsidP="008A2FCE">
      <w:r>
        <w:separator/>
      </w:r>
    </w:p>
    <w:p w:rsidR="00F564C2" w:rsidRDefault="00F564C2" w:rsidP="008A2FCE"/>
  </w:footnote>
  <w:footnote w:type="continuationSeparator" w:id="0">
    <w:p w:rsidR="00F564C2" w:rsidRDefault="00F564C2" w:rsidP="008A2FCE">
      <w:r>
        <w:continuationSeparator/>
      </w:r>
    </w:p>
    <w:p w:rsidR="00F564C2" w:rsidRDefault="00F564C2" w:rsidP="008A2FCE"/>
  </w:footnote>
  <w:footnote w:id="1">
    <w:p w:rsidR="00B0665B" w:rsidRDefault="00B066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1CE3">
        <w:rPr>
          <w:i/>
          <w:sz w:val="16"/>
          <w:szCs w:val="18"/>
        </w:rPr>
        <w:t>https://ico.org.uk/for-organisations/data-protection-reform/overview-of-the-gdpr/individuals-rights/the-right-to-erasure/</w:t>
      </w:r>
    </w:p>
  </w:footnote>
  <w:footnote w:id="2">
    <w:p w:rsidR="00B0665B" w:rsidRPr="004D3F76" w:rsidRDefault="00B0665B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4D3F76">
        <w:rPr>
          <w:i/>
          <w:sz w:val="16"/>
          <w:szCs w:val="16"/>
        </w:rPr>
        <w:t>https://ico.org.uk/for-organisations/data-protection-reform/overview-of-the-gdpr/individuals-rights/the-right-to-data-portability/</w:t>
      </w:r>
    </w:p>
  </w:footnote>
  <w:footnote w:id="3">
    <w:p w:rsidR="00B06FAE" w:rsidRDefault="00B06F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3F76">
        <w:rPr>
          <w:i/>
          <w:sz w:val="16"/>
          <w:szCs w:val="16"/>
        </w:rPr>
        <w:t>https://ico.org.uk/for-organisations/data-protection-reform/overview-of-the-gdpr/individuals-rights/the-right-of-access/</w:t>
      </w:r>
    </w:p>
  </w:footnote>
  <w:footnote w:id="4">
    <w:p w:rsidR="00463775" w:rsidRDefault="004637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05F7A">
        <w:rPr>
          <w:i/>
          <w:sz w:val="16"/>
        </w:rPr>
        <w:t>Information Commission Officer https://ico.org.uk/global/contact-us/</w:t>
      </w:r>
      <w:r w:rsidRPr="00805F7A">
        <w:rPr>
          <w:sz w:val="16"/>
        </w:rPr>
        <w:t xml:space="preserve"> </w:t>
      </w:r>
    </w:p>
  </w:footnote>
  <w:footnote w:id="5">
    <w:p w:rsidR="002A7DF4" w:rsidRPr="00F53385" w:rsidRDefault="002A7DF4">
      <w:pPr>
        <w:pStyle w:val="FootnoteText"/>
        <w:rPr>
          <w:i/>
        </w:rPr>
      </w:pPr>
      <w:r w:rsidRPr="00F53385">
        <w:rPr>
          <w:rStyle w:val="FootnoteReference"/>
          <w:i/>
          <w:sz w:val="18"/>
        </w:rPr>
        <w:footnoteRef/>
      </w:r>
      <w:r w:rsidRPr="00F53385">
        <w:rPr>
          <w:i/>
          <w:sz w:val="18"/>
        </w:rPr>
        <w:t xml:space="preserve"> </w:t>
      </w:r>
      <w:r w:rsidRPr="00805F7A">
        <w:rPr>
          <w:i/>
          <w:sz w:val="16"/>
        </w:rPr>
        <w:t>P</w:t>
      </w:r>
      <w:r w:rsidR="00C44AC2">
        <w:rPr>
          <w:i/>
          <w:sz w:val="16"/>
        </w:rPr>
        <w:t xml:space="preserve">rivacy </w:t>
      </w:r>
      <w:r w:rsidRPr="00805F7A">
        <w:rPr>
          <w:i/>
          <w:sz w:val="16"/>
        </w:rPr>
        <w:t>I</w:t>
      </w:r>
      <w:r w:rsidR="00C44AC2">
        <w:rPr>
          <w:i/>
          <w:sz w:val="16"/>
        </w:rPr>
        <w:t xml:space="preserve">mpact </w:t>
      </w:r>
      <w:r w:rsidRPr="00805F7A">
        <w:rPr>
          <w:i/>
          <w:sz w:val="16"/>
        </w:rPr>
        <w:t>A</w:t>
      </w:r>
      <w:r w:rsidR="00C44AC2">
        <w:rPr>
          <w:i/>
          <w:sz w:val="16"/>
        </w:rPr>
        <w:t>ssessment</w:t>
      </w:r>
      <w:r w:rsidRPr="00805F7A">
        <w:rPr>
          <w:i/>
          <w:sz w:val="16"/>
        </w:rPr>
        <w:t>s are already carried out for CCG/SCW CSU led  initiatives as part of existing project management processes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39" w:rsidRDefault="00FF4839" w:rsidP="008A2FCE">
    <w:pPr>
      <w:pStyle w:val="Header"/>
    </w:pPr>
    <w:bookmarkStart w:id="1" w:name="_WNSectionTitle"/>
    <w:bookmarkStart w:id="2" w:name="_WNTabType_0"/>
    <w:bookmarkStart w:id="3" w:name="_WNSectionTitle_1"/>
    <w:bookmarkStart w:id="4" w:name="_WNTabType_1"/>
    <w:r>
      <w:rPr>
        <w:noProof/>
        <w:lang w:val="en-US"/>
      </w:rPr>
      <w:softHyphen/>
      <w:t xml:space="preserve">    </w:t>
    </w:r>
    <w:bookmarkEnd w:id="1"/>
    <w:bookmarkEnd w:id="2"/>
  </w:p>
  <w:p w:rsidR="00FF4839" w:rsidRDefault="00FF4839" w:rsidP="008A2FCE">
    <w:pPr>
      <w:pStyle w:val="Header"/>
    </w:pPr>
  </w:p>
  <w:p w:rsidR="00FF4839" w:rsidRDefault="00FF4839" w:rsidP="00E2735D">
    <w:pPr>
      <w:pStyle w:val="Header"/>
      <w:tabs>
        <w:tab w:val="clear" w:pos="4513"/>
        <w:tab w:val="clear" w:pos="9026"/>
        <w:tab w:val="left" w:pos="2048"/>
      </w:tabs>
    </w:pPr>
    <w:r>
      <w:tab/>
    </w:r>
  </w:p>
  <w:p w:rsidR="00FF4839" w:rsidRDefault="00FF4839" w:rsidP="00E2735D">
    <w:pPr>
      <w:pStyle w:val="Header"/>
      <w:tabs>
        <w:tab w:val="clear" w:pos="4513"/>
        <w:tab w:val="clear" w:pos="9026"/>
        <w:tab w:val="left" w:pos="980"/>
      </w:tabs>
    </w:pPr>
  </w:p>
  <w:p w:rsidR="00FF4839" w:rsidRDefault="00FF4839" w:rsidP="005E071D">
    <w:pPr>
      <w:pStyle w:val="Header"/>
      <w:tabs>
        <w:tab w:val="clear" w:pos="4513"/>
        <w:tab w:val="clear" w:pos="9026"/>
        <w:tab w:val="left" w:pos="2048"/>
      </w:tabs>
    </w:pPr>
  </w:p>
  <w:p w:rsidR="00FF4839" w:rsidRDefault="00FF4839" w:rsidP="008A2FCE">
    <w:pPr>
      <w:pStyle w:val="Header"/>
    </w:pPr>
  </w:p>
  <w:p w:rsidR="00FF4839" w:rsidRDefault="00FF4839" w:rsidP="008A2FCE">
    <w:pPr>
      <w:pStyle w:val="Header"/>
    </w:pPr>
  </w:p>
  <w:p w:rsidR="00FF4839" w:rsidRDefault="00FF4839" w:rsidP="008A2FCE">
    <w:pPr>
      <w:pStyle w:val="Header"/>
    </w:pPr>
  </w:p>
  <w:p w:rsidR="00FF4839" w:rsidRDefault="00FF4839" w:rsidP="008A2FCE">
    <w:pPr>
      <w:pStyle w:val="Header"/>
    </w:pPr>
  </w:p>
  <w:p w:rsidR="00FF4839" w:rsidRDefault="00FF4839" w:rsidP="008A2FCE">
    <w:pPr>
      <w:pStyle w:val="Header"/>
    </w:pPr>
  </w:p>
  <w:bookmarkEnd w:id="3"/>
  <w:bookmark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CC35E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15E5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E740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5040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EDC2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A409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8093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E0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F8A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8323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CCB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BA6C69"/>
    <w:multiLevelType w:val="hybridMultilevel"/>
    <w:tmpl w:val="3830E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0"/>
    <w:docVar w:name="EnableWordNotes" w:val="0"/>
  </w:docVars>
  <w:rsids>
    <w:rsidRoot w:val="002116AD"/>
    <w:rsid w:val="00002788"/>
    <w:rsid w:val="0000338E"/>
    <w:rsid w:val="0001100F"/>
    <w:rsid w:val="00011F84"/>
    <w:rsid w:val="00023C23"/>
    <w:rsid w:val="00051C72"/>
    <w:rsid w:val="00056E06"/>
    <w:rsid w:val="00084CFC"/>
    <w:rsid w:val="000B28B6"/>
    <w:rsid w:val="000B6408"/>
    <w:rsid w:val="000F35C2"/>
    <w:rsid w:val="00114424"/>
    <w:rsid w:val="001554C9"/>
    <w:rsid w:val="001575E9"/>
    <w:rsid w:val="00170991"/>
    <w:rsid w:val="00180FAE"/>
    <w:rsid w:val="00185FA2"/>
    <w:rsid w:val="00195061"/>
    <w:rsid w:val="001A5D77"/>
    <w:rsid w:val="001D0C78"/>
    <w:rsid w:val="00201109"/>
    <w:rsid w:val="00201BA1"/>
    <w:rsid w:val="002116AD"/>
    <w:rsid w:val="00225C51"/>
    <w:rsid w:val="00227686"/>
    <w:rsid w:val="00231549"/>
    <w:rsid w:val="00237E72"/>
    <w:rsid w:val="00252134"/>
    <w:rsid w:val="002569FF"/>
    <w:rsid w:val="00261A0E"/>
    <w:rsid w:val="00264AB0"/>
    <w:rsid w:val="00271A8A"/>
    <w:rsid w:val="00274590"/>
    <w:rsid w:val="00275B2E"/>
    <w:rsid w:val="00281BA6"/>
    <w:rsid w:val="00283193"/>
    <w:rsid w:val="00292DF2"/>
    <w:rsid w:val="002A657F"/>
    <w:rsid w:val="002A7DF4"/>
    <w:rsid w:val="002B33D4"/>
    <w:rsid w:val="002B4DEE"/>
    <w:rsid w:val="002E2657"/>
    <w:rsid w:val="002F1712"/>
    <w:rsid w:val="003111B5"/>
    <w:rsid w:val="003130C6"/>
    <w:rsid w:val="00316972"/>
    <w:rsid w:val="00323E59"/>
    <w:rsid w:val="00327735"/>
    <w:rsid w:val="00336DEE"/>
    <w:rsid w:val="0034481F"/>
    <w:rsid w:val="003533AA"/>
    <w:rsid w:val="00354F9C"/>
    <w:rsid w:val="003729E4"/>
    <w:rsid w:val="0038048A"/>
    <w:rsid w:val="003A22EA"/>
    <w:rsid w:val="003C799B"/>
    <w:rsid w:val="003E7D17"/>
    <w:rsid w:val="00405E1E"/>
    <w:rsid w:val="004169CC"/>
    <w:rsid w:val="004329F8"/>
    <w:rsid w:val="00444011"/>
    <w:rsid w:val="00460ECB"/>
    <w:rsid w:val="00463775"/>
    <w:rsid w:val="00466CCD"/>
    <w:rsid w:val="00471CE3"/>
    <w:rsid w:val="0047256D"/>
    <w:rsid w:val="0048232E"/>
    <w:rsid w:val="004A2808"/>
    <w:rsid w:val="004A696F"/>
    <w:rsid w:val="004A6DB5"/>
    <w:rsid w:val="004B7335"/>
    <w:rsid w:val="004C26F9"/>
    <w:rsid w:val="004C5911"/>
    <w:rsid w:val="004C7743"/>
    <w:rsid w:val="004D3F76"/>
    <w:rsid w:val="004D49DE"/>
    <w:rsid w:val="004E0724"/>
    <w:rsid w:val="004F03A2"/>
    <w:rsid w:val="005119AF"/>
    <w:rsid w:val="00511ABE"/>
    <w:rsid w:val="00515A15"/>
    <w:rsid w:val="00550BC2"/>
    <w:rsid w:val="005534C5"/>
    <w:rsid w:val="00563C12"/>
    <w:rsid w:val="00565C46"/>
    <w:rsid w:val="005C2D4B"/>
    <w:rsid w:val="005E071D"/>
    <w:rsid w:val="005E7B50"/>
    <w:rsid w:val="00600662"/>
    <w:rsid w:val="0062086F"/>
    <w:rsid w:val="006342A4"/>
    <w:rsid w:val="00641531"/>
    <w:rsid w:val="00641BBD"/>
    <w:rsid w:val="00666CD8"/>
    <w:rsid w:val="00667C00"/>
    <w:rsid w:val="00690731"/>
    <w:rsid w:val="00693DAF"/>
    <w:rsid w:val="006A0D2B"/>
    <w:rsid w:val="006C7036"/>
    <w:rsid w:val="006E43FD"/>
    <w:rsid w:val="006F0C4E"/>
    <w:rsid w:val="00703B33"/>
    <w:rsid w:val="0070452C"/>
    <w:rsid w:val="00716D70"/>
    <w:rsid w:val="00731FA3"/>
    <w:rsid w:val="0073450E"/>
    <w:rsid w:val="00747F31"/>
    <w:rsid w:val="00790FAF"/>
    <w:rsid w:val="007A038A"/>
    <w:rsid w:val="007B6662"/>
    <w:rsid w:val="007D0E4F"/>
    <w:rsid w:val="007E1212"/>
    <w:rsid w:val="007E224D"/>
    <w:rsid w:val="007F1C7E"/>
    <w:rsid w:val="007F2605"/>
    <w:rsid w:val="00805F7A"/>
    <w:rsid w:val="00814F61"/>
    <w:rsid w:val="00835F97"/>
    <w:rsid w:val="008450C3"/>
    <w:rsid w:val="00874CC2"/>
    <w:rsid w:val="00886AF9"/>
    <w:rsid w:val="008A272D"/>
    <w:rsid w:val="008A2FCE"/>
    <w:rsid w:val="008A36E6"/>
    <w:rsid w:val="008B36D3"/>
    <w:rsid w:val="008C0863"/>
    <w:rsid w:val="008C50C3"/>
    <w:rsid w:val="008D5852"/>
    <w:rsid w:val="008E265D"/>
    <w:rsid w:val="008E512F"/>
    <w:rsid w:val="008E7C95"/>
    <w:rsid w:val="0092181C"/>
    <w:rsid w:val="00926A25"/>
    <w:rsid w:val="00934CEF"/>
    <w:rsid w:val="00947179"/>
    <w:rsid w:val="00953AB7"/>
    <w:rsid w:val="00975F44"/>
    <w:rsid w:val="00995F67"/>
    <w:rsid w:val="00A008BA"/>
    <w:rsid w:val="00A20FF8"/>
    <w:rsid w:val="00A32DCC"/>
    <w:rsid w:val="00A34168"/>
    <w:rsid w:val="00A5665A"/>
    <w:rsid w:val="00A82730"/>
    <w:rsid w:val="00AA1898"/>
    <w:rsid w:val="00AB1668"/>
    <w:rsid w:val="00AC0139"/>
    <w:rsid w:val="00AC6FA0"/>
    <w:rsid w:val="00AE4400"/>
    <w:rsid w:val="00B00554"/>
    <w:rsid w:val="00B0665B"/>
    <w:rsid w:val="00B06FAE"/>
    <w:rsid w:val="00B151ED"/>
    <w:rsid w:val="00B360FB"/>
    <w:rsid w:val="00B43A62"/>
    <w:rsid w:val="00B57700"/>
    <w:rsid w:val="00B8750C"/>
    <w:rsid w:val="00B90D4C"/>
    <w:rsid w:val="00B934CC"/>
    <w:rsid w:val="00BA0415"/>
    <w:rsid w:val="00BB087C"/>
    <w:rsid w:val="00BB696B"/>
    <w:rsid w:val="00BD2088"/>
    <w:rsid w:val="00BE3C38"/>
    <w:rsid w:val="00C21BD4"/>
    <w:rsid w:val="00C374E4"/>
    <w:rsid w:val="00C44AC2"/>
    <w:rsid w:val="00C506D2"/>
    <w:rsid w:val="00C63ABE"/>
    <w:rsid w:val="00C91DB3"/>
    <w:rsid w:val="00C96A33"/>
    <w:rsid w:val="00CE4319"/>
    <w:rsid w:val="00D16CA5"/>
    <w:rsid w:val="00D33639"/>
    <w:rsid w:val="00D361DE"/>
    <w:rsid w:val="00D4511E"/>
    <w:rsid w:val="00D647EE"/>
    <w:rsid w:val="00D87CFD"/>
    <w:rsid w:val="00D92FBA"/>
    <w:rsid w:val="00DA3EE9"/>
    <w:rsid w:val="00DA4123"/>
    <w:rsid w:val="00DB12A3"/>
    <w:rsid w:val="00DB6146"/>
    <w:rsid w:val="00DD341C"/>
    <w:rsid w:val="00DD479E"/>
    <w:rsid w:val="00DF5AF5"/>
    <w:rsid w:val="00E03B4D"/>
    <w:rsid w:val="00E21AA8"/>
    <w:rsid w:val="00E2735D"/>
    <w:rsid w:val="00E530F6"/>
    <w:rsid w:val="00E64C6D"/>
    <w:rsid w:val="00E658BC"/>
    <w:rsid w:val="00E9177A"/>
    <w:rsid w:val="00E91F75"/>
    <w:rsid w:val="00E9596F"/>
    <w:rsid w:val="00EE6C18"/>
    <w:rsid w:val="00EF61F7"/>
    <w:rsid w:val="00F07D4D"/>
    <w:rsid w:val="00F12DCF"/>
    <w:rsid w:val="00F27DA4"/>
    <w:rsid w:val="00F37AD2"/>
    <w:rsid w:val="00F413DC"/>
    <w:rsid w:val="00F52521"/>
    <w:rsid w:val="00F52A2B"/>
    <w:rsid w:val="00F53385"/>
    <w:rsid w:val="00F564C2"/>
    <w:rsid w:val="00F82354"/>
    <w:rsid w:val="00F92A0F"/>
    <w:rsid w:val="00FA4B1D"/>
    <w:rsid w:val="00FE0F9C"/>
    <w:rsid w:val="00FF4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er" w:uiPriority="99"/>
    <w:lsdException w:name="footer" w:uiPriority="99"/>
    <w:lsdException w:name="List Paragraph" w:uiPriority="34" w:qFormat="1"/>
  </w:latentStyles>
  <w:style w:type="paragraph" w:default="1" w:styleId="Normal">
    <w:name w:val="Normal"/>
    <w:next w:val="NormalBody"/>
    <w:qFormat/>
    <w:rsid w:val="008A2FCE"/>
    <w:rPr>
      <w:color w:val="606362"/>
      <w:sz w:val="24"/>
      <w:szCs w:val="22"/>
    </w:rPr>
  </w:style>
  <w:style w:type="paragraph" w:styleId="Heading1">
    <w:name w:val="heading 1"/>
    <w:aliases w:val="Heading Capped Blue"/>
    <w:basedOn w:val="Heading2"/>
    <w:next w:val="Normal"/>
    <w:link w:val="Heading1Char"/>
    <w:uiPriority w:val="9"/>
    <w:rsid w:val="00E658BC"/>
    <w:pPr>
      <w:spacing w:before="360"/>
      <w:outlineLvl w:val="0"/>
    </w:pPr>
    <w:rPr>
      <w:b w:val="0"/>
      <w: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8BA"/>
    <w:pPr>
      <w:outlineLvl w:val="1"/>
    </w:pPr>
    <w:rPr>
      <w:b/>
      <w:color w:val="1960A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DA4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apped Blue Char"/>
    <w:link w:val="Heading1"/>
    <w:uiPriority w:val="9"/>
    <w:rsid w:val="00E658BC"/>
    <w:rPr>
      <w:caps/>
      <w:color w:val="1960AB"/>
      <w:sz w:val="28"/>
    </w:rPr>
  </w:style>
  <w:style w:type="paragraph" w:customStyle="1" w:styleId="Headertext">
    <w:name w:val="Header text"/>
    <w:basedOn w:val="Title"/>
    <w:rsid w:val="004C5911"/>
    <w:pPr>
      <w:pBdr>
        <w:bottom w:val="dotted" w:sz="4" w:space="1" w:color="FFFFFF"/>
      </w:pBdr>
      <w:suppressAutoHyphens/>
    </w:pPr>
    <w:rPr>
      <w:rFonts w:eastAsia="Times New Roman"/>
      <w:b/>
      <w:color w:val="FFFFFF"/>
      <w:lang w:val="en-US"/>
    </w:rPr>
  </w:style>
  <w:style w:type="paragraph" w:styleId="Title">
    <w:name w:val="Title"/>
    <w:aliases w:val="Page/Section Title"/>
    <w:basedOn w:val="Normal"/>
    <w:next w:val="Normal"/>
    <w:link w:val="TitleChar"/>
    <w:uiPriority w:val="10"/>
    <w:rsid w:val="004A696F"/>
    <w:pPr>
      <w:pBdr>
        <w:bottom w:val="dotted" w:sz="4" w:space="4" w:color="5BBF21"/>
      </w:pBdr>
      <w:spacing w:after="300"/>
      <w:contextualSpacing/>
    </w:pPr>
    <w:rPr>
      <w:rFonts w:eastAsia="MS Mincho"/>
      <w:caps/>
      <w:color w:val="003893"/>
      <w:spacing w:val="5"/>
      <w:kern w:val="28"/>
      <w:sz w:val="52"/>
      <w:szCs w:val="52"/>
    </w:rPr>
  </w:style>
  <w:style w:type="character" w:customStyle="1" w:styleId="TitleChar">
    <w:name w:val="Title Char"/>
    <w:aliases w:val="Page/Section Title Char"/>
    <w:link w:val="Title"/>
    <w:uiPriority w:val="10"/>
    <w:rsid w:val="004A696F"/>
    <w:rPr>
      <w:rFonts w:eastAsia="MS Mincho" w:cs="Times New Roman"/>
      <w:caps/>
      <w:color w:val="003893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261A0E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en-GB"/>
    </w:rPr>
  </w:style>
  <w:style w:type="character" w:styleId="Strong">
    <w:name w:val="Strong"/>
    <w:uiPriority w:val="22"/>
    <w:qFormat/>
    <w:rsid w:val="00B151ED"/>
    <w:rPr>
      <w:b/>
      <w:bCs/>
      <w:color w:val="606362"/>
    </w:rPr>
  </w:style>
  <w:style w:type="character" w:styleId="Emphasis">
    <w:name w:val="Emphasis"/>
    <w:uiPriority w:val="20"/>
    <w:qFormat/>
    <w:rsid w:val="00B151ED"/>
    <w:rPr>
      <w:i/>
      <w:iCs/>
      <w:color w:val="606362"/>
    </w:rPr>
  </w:style>
  <w:style w:type="character" w:styleId="IntenseEmphasis">
    <w:name w:val="Intense Emphasis"/>
    <w:aliases w:val="Intense Emphasis Blue"/>
    <w:uiPriority w:val="21"/>
    <w:qFormat/>
    <w:rsid w:val="00D33639"/>
    <w:rPr>
      <w:b/>
      <w:bCs/>
      <w:i/>
      <w:color w:val="1960AB"/>
    </w:rPr>
  </w:style>
  <w:style w:type="paragraph" w:styleId="Subtitle">
    <w:name w:val="Subtitle"/>
    <w:aliases w:val="Introductory paragraph"/>
    <w:basedOn w:val="Normal"/>
    <w:next w:val="Normal"/>
    <w:link w:val="SubtitleChar"/>
    <w:uiPriority w:val="11"/>
    <w:qFormat/>
    <w:rsid w:val="00A008BA"/>
    <w:rPr>
      <w:color w:val="1960AB"/>
      <w:sz w:val="28"/>
    </w:rPr>
  </w:style>
  <w:style w:type="character" w:customStyle="1" w:styleId="SubtitleChar">
    <w:name w:val="Subtitle Char"/>
    <w:aliases w:val="Introductory paragraph Char"/>
    <w:link w:val="Subtitle"/>
    <w:uiPriority w:val="11"/>
    <w:rsid w:val="00A008BA"/>
    <w:rPr>
      <w:color w:val="1960AB"/>
      <w:sz w:val="28"/>
    </w:rPr>
  </w:style>
  <w:style w:type="character" w:customStyle="1" w:styleId="Heading2Char">
    <w:name w:val="Heading 2 Char"/>
    <w:link w:val="Heading2"/>
    <w:uiPriority w:val="9"/>
    <w:rsid w:val="00A008BA"/>
    <w:rPr>
      <w:b/>
      <w:color w:val="1960AB"/>
      <w:sz w:val="24"/>
    </w:rPr>
  </w:style>
  <w:style w:type="character" w:customStyle="1" w:styleId="Heading3Char">
    <w:name w:val="Heading 3 Char"/>
    <w:link w:val="Heading3"/>
    <w:uiPriority w:val="9"/>
    <w:rsid w:val="00F27DA4"/>
    <w:rPr>
      <w:b/>
      <w:color w:val="606362"/>
      <w:sz w:val="24"/>
    </w:rPr>
  </w:style>
  <w:style w:type="paragraph" w:styleId="NoSpacing">
    <w:name w:val="No Spacing"/>
    <w:aliases w:val="Table text"/>
    <w:uiPriority w:val="1"/>
    <w:qFormat/>
    <w:rsid w:val="001A5D77"/>
    <w:rPr>
      <w:color w:val="606362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151ED"/>
    <w:rPr>
      <w:i/>
      <w:iCs/>
    </w:rPr>
  </w:style>
  <w:style w:type="character" w:customStyle="1" w:styleId="QuoteChar">
    <w:name w:val="Quote Char"/>
    <w:link w:val="Quote"/>
    <w:uiPriority w:val="29"/>
    <w:rsid w:val="00B151ED"/>
    <w:rPr>
      <w:i/>
      <w:iCs/>
      <w:color w:val="606362"/>
      <w:sz w:val="24"/>
    </w:rPr>
  </w:style>
  <w:style w:type="character" w:styleId="BookTitle">
    <w:name w:val="Book Title"/>
    <w:uiPriority w:val="33"/>
    <w:qFormat/>
    <w:rsid w:val="00B151ED"/>
    <w:rPr>
      <w:b/>
      <w:bCs/>
      <w:smallCaps/>
      <w:color w:val="606362"/>
      <w:spacing w:val="5"/>
    </w:rPr>
  </w:style>
  <w:style w:type="table" w:styleId="TableGrid">
    <w:name w:val="Table Grid"/>
    <w:basedOn w:val="TableNormal"/>
    <w:uiPriority w:val="59"/>
    <w:rsid w:val="003A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1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7179"/>
    <w:rPr>
      <w:color w:val="606362"/>
      <w:sz w:val="24"/>
    </w:rPr>
  </w:style>
  <w:style w:type="paragraph" w:styleId="Footer">
    <w:name w:val="footer"/>
    <w:basedOn w:val="Normal"/>
    <w:link w:val="FooterChar"/>
    <w:uiPriority w:val="99"/>
    <w:unhideWhenUsed/>
    <w:rsid w:val="009471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7179"/>
    <w:rPr>
      <w:color w:val="60636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7179"/>
    <w:rPr>
      <w:rFonts w:ascii="Tahoma" w:hAnsi="Tahoma" w:cs="Tahoma"/>
      <w:color w:val="606362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80F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customStyle="1" w:styleId="IntenseEmphasisPink">
    <w:name w:val="Intense Emphasis Pink"/>
    <w:basedOn w:val="Normal"/>
    <w:qFormat/>
    <w:rsid w:val="00D33639"/>
    <w:rPr>
      <w:b/>
      <w:i/>
      <w:color w:val="A1368B"/>
    </w:rPr>
  </w:style>
  <w:style w:type="paragraph" w:customStyle="1" w:styleId="IntenseEmphasisGreen">
    <w:name w:val="Intense Emphasis Green"/>
    <w:basedOn w:val="Normal"/>
    <w:qFormat/>
    <w:rsid w:val="00D33639"/>
    <w:rPr>
      <w:b/>
      <w:i/>
      <w:color w:val="7CBC60"/>
    </w:rPr>
  </w:style>
  <w:style w:type="paragraph" w:customStyle="1" w:styleId="NormalDark">
    <w:name w:val="Normal Dark"/>
    <w:basedOn w:val="Normal"/>
    <w:qFormat/>
    <w:rsid w:val="008A2FCE"/>
    <w:rPr>
      <w:color w:val="262626"/>
    </w:rPr>
  </w:style>
  <w:style w:type="paragraph" w:customStyle="1" w:styleId="NoteLevel21">
    <w:name w:val="Note Level 21"/>
    <w:basedOn w:val="Normal"/>
    <w:rsid w:val="000B28B6"/>
    <w:pPr>
      <w:keepNext/>
      <w:numPr>
        <w:ilvl w:val="1"/>
        <w:numId w:val="1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rsid w:val="000B28B6"/>
    <w:pPr>
      <w:keepNext/>
      <w:numPr>
        <w:ilvl w:val="2"/>
        <w:numId w:val="1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rsid w:val="000B28B6"/>
    <w:pPr>
      <w:keepNext/>
      <w:numPr>
        <w:ilvl w:val="3"/>
        <w:numId w:val="1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rsid w:val="000B28B6"/>
    <w:pPr>
      <w:keepNext/>
      <w:numPr>
        <w:ilvl w:val="4"/>
        <w:numId w:val="1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rsid w:val="000B28B6"/>
    <w:pPr>
      <w:keepNext/>
      <w:numPr>
        <w:ilvl w:val="5"/>
        <w:numId w:val="1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rsid w:val="000B28B6"/>
    <w:pPr>
      <w:keepNext/>
      <w:numPr>
        <w:ilvl w:val="6"/>
        <w:numId w:val="1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rsid w:val="000B28B6"/>
    <w:pPr>
      <w:keepNext/>
      <w:numPr>
        <w:ilvl w:val="7"/>
        <w:numId w:val="1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rsid w:val="000B28B6"/>
    <w:pPr>
      <w:keepNext/>
      <w:numPr>
        <w:ilvl w:val="8"/>
        <w:numId w:val="11"/>
      </w:numPr>
      <w:contextualSpacing/>
      <w:outlineLvl w:val="8"/>
    </w:pPr>
    <w:rPr>
      <w:rFonts w:ascii="Verdana" w:eastAsia="MS Gothic" w:hAnsi="Verdana"/>
    </w:rPr>
  </w:style>
  <w:style w:type="paragraph" w:customStyle="1" w:styleId="DocumentTitle">
    <w:name w:val="Document Title"/>
    <w:basedOn w:val="Normal"/>
    <w:qFormat/>
    <w:rsid w:val="00227686"/>
    <w:rPr>
      <w:b/>
      <w:sz w:val="70"/>
      <w:szCs w:val="70"/>
    </w:rPr>
  </w:style>
  <w:style w:type="paragraph" w:customStyle="1" w:styleId="SubtitleBlue">
    <w:name w:val="Subtitle Blue"/>
    <w:basedOn w:val="SubtitleGreen"/>
    <w:qFormat/>
    <w:rsid w:val="00227686"/>
    <w:rPr>
      <w:color w:val="1960AB"/>
    </w:rPr>
  </w:style>
  <w:style w:type="paragraph" w:customStyle="1" w:styleId="SubtitlePink">
    <w:name w:val="Subtitle Pink"/>
    <w:basedOn w:val="Normal"/>
    <w:qFormat/>
    <w:rsid w:val="000B6408"/>
    <w:pPr>
      <w:keepNext/>
      <w:tabs>
        <w:tab w:val="num" w:pos="0"/>
      </w:tabs>
      <w:contextualSpacing/>
      <w:outlineLvl w:val="0"/>
    </w:pPr>
    <w:rPr>
      <w:rFonts w:eastAsia="MS Gothic"/>
      <w:color w:val="A1368B"/>
      <w:sz w:val="50"/>
      <w:szCs w:val="50"/>
    </w:rPr>
  </w:style>
  <w:style w:type="paragraph" w:customStyle="1" w:styleId="SubtitleGreen">
    <w:name w:val="Subtitle Green"/>
    <w:basedOn w:val="SubtitlePink"/>
    <w:qFormat/>
    <w:rsid w:val="00227686"/>
    <w:rPr>
      <w:color w:val="7CBC60"/>
    </w:rPr>
  </w:style>
  <w:style w:type="paragraph" w:customStyle="1" w:styleId="HeadingBold">
    <w:name w:val="Heading Bold"/>
    <w:basedOn w:val="Header"/>
    <w:next w:val="Normal"/>
    <w:qFormat/>
    <w:rsid w:val="00D33639"/>
    <w:rPr>
      <w:b/>
      <w:sz w:val="28"/>
      <w:szCs w:val="28"/>
    </w:rPr>
  </w:style>
  <w:style w:type="paragraph" w:customStyle="1" w:styleId="HeadingBlue">
    <w:name w:val="Heading Blue"/>
    <w:basedOn w:val="Heading2"/>
    <w:next w:val="Normal"/>
    <w:rsid w:val="00D33639"/>
    <w:rPr>
      <w:sz w:val="28"/>
      <w:szCs w:val="28"/>
    </w:rPr>
  </w:style>
  <w:style w:type="paragraph" w:customStyle="1" w:styleId="HeadingCappedPink">
    <w:name w:val="Heading Capped Pink"/>
    <w:basedOn w:val="Heading1"/>
    <w:next w:val="Normal"/>
    <w:rsid w:val="00E658BC"/>
    <w:rPr>
      <w:color w:val="A1368B"/>
    </w:rPr>
  </w:style>
  <w:style w:type="paragraph" w:customStyle="1" w:styleId="HeadingCappedGreen">
    <w:name w:val="Heading Capped Green"/>
    <w:basedOn w:val="Heading1"/>
    <w:next w:val="Normal"/>
    <w:rsid w:val="00E658BC"/>
    <w:rPr>
      <w:color w:val="7CBC60"/>
    </w:rPr>
  </w:style>
  <w:style w:type="paragraph" w:customStyle="1" w:styleId="HeadingBoldBlue">
    <w:name w:val="Heading Bold Blue"/>
    <w:basedOn w:val="HeadingBlue"/>
    <w:next w:val="Normal"/>
    <w:qFormat/>
    <w:rsid w:val="00E658BC"/>
  </w:style>
  <w:style w:type="paragraph" w:customStyle="1" w:styleId="HeadingBoldPink">
    <w:name w:val="Heading Bold Pink"/>
    <w:basedOn w:val="HeadingBlue"/>
    <w:next w:val="Normal"/>
    <w:qFormat/>
    <w:rsid w:val="00E658BC"/>
    <w:rPr>
      <w:color w:val="A1368B"/>
    </w:rPr>
  </w:style>
  <w:style w:type="paragraph" w:customStyle="1" w:styleId="HeadingBoldGreen">
    <w:name w:val="Heading Bold Green"/>
    <w:basedOn w:val="Heading2"/>
    <w:next w:val="Normal"/>
    <w:qFormat/>
    <w:rsid w:val="007F2605"/>
    <w:rPr>
      <w:color w:val="7CBC60"/>
      <w:sz w:val="28"/>
      <w:szCs w:val="28"/>
    </w:rPr>
  </w:style>
  <w:style w:type="paragraph" w:customStyle="1" w:styleId="HeadingCappedBoldandBlue">
    <w:name w:val="Heading Capped Bold and Blue"/>
    <w:basedOn w:val="Heading1"/>
    <w:next w:val="Normal"/>
    <w:qFormat/>
    <w:rsid w:val="008A2FCE"/>
    <w:pPr>
      <w:spacing w:before="0"/>
    </w:pPr>
    <w:rPr>
      <w:b/>
    </w:rPr>
  </w:style>
  <w:style w:type="paragraph" w:customStyle="1" w:styleId="HeadingCappedBoldandPink">
    <w:name w:val="Heading Capped Bold and Pink"/>
    <w:basedOn w:val="HeadingCappedBoldandBlue"/>
    <w:next w:val="Normal"/>
    <w:qFormat/>
    <w:rsid w:val="008A2FCE"/>
    <w:rPr>
      <w:color w:val="A1368B"/>
    </w:rPr>
  </w:style>
  <w:style w:type="paragraph" w:customStyle="1" w:styleId="HeadingCappedBoldandGreen">
    <w:name w:val="Heading Capped Bold and Green"/>
    <w:basedOn w:val="HeadingCappedBoldandPink"/>
    <w:next w:val="Normal"/>
    <w:qFormat/>
    <w:rsid w:val="008A2FCE"/>
    <w:rPr>
      <w:color w:val="7CBC60"/>
    </w:rPr>
  </w:style>
  <w:style w:type="paragraph" w:customStyle="1" w:styleId="NormalBody">
    <w:name w:val="Normal Body"/>
    <w:basedOn w:val="Normal"/>
    <w:next w:val="Normal"/>
    <w:rsid w:val="000B6408"/>
  </w:style>
  <w:style w:type="paragraph" w:customStyle="1" w:styleId="TableTextDark">
    <w:name w:val="Table Text Dark"/>
    <w:basedOn w:val="NoSpacing"/>
    <w:qFormat/>
    <w:rsid w:val="00227686"/>
    <w:rPr>
      <w:color w:val="262626"/>
    </w:rPr>
  </w:style>
  <w:style w:type="paragraph" w:customStyle="1" w:styleId="HeadingCapped">
    <w:name w:val="Heading Capped"/>
    <w:basedOn w:val="HeadingCappedBoldandBlue"/>
    <w:qFormat/>
    <w:rsid w:val="00354F9C"/>
    <w:rPr>
      <w:color w:val="595959"/>
    </w:rPr>
  </w:style>
  <w:style w:type="paragraph" w:customStyle="1" w:styleId="NoteLevel1">
    <w:name w:val="Note Level 1"/>
    <w:basedOn w:val="Normal"/>
    <w:rsid w:val="00D92FBA"/>
    <w:pPr>
      <w:keepNext/>
      <w:numPr>
        <w:numId w:val="11"/>
      </w:numPr>
      <w:contextualSpacing/>
      <w:outlineLvl w:val="0"/>
    </w:pPr>
    <w:rPr>
      <w:rFonts w:ascii="Verdana" w:eastAsia="MS Gothic" w:hAnsi="Verdana"/>
    </w:rPr>
  </w:style>
  <w:style w:type="table" w:styleId="ColorfulList-Accent6">
    <w:name w:val="Colorful List Accent 6"/>
    <w:basedOn w:val="TableNormal"/>
    <w:rsid w:val="00D92FB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List">
    <w:name w:val="Colorful List"/>
    <w:basedOn w:val="TableNormal"/>
    <w:rsid w:val="00D92FB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TableTheme">
    <w:name w:val="Table Theme"/>
    <w:basedOn w:val="TableNormal"/>
    <w:rsid w:val="00D9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rsid w:val="00A20FF8"/>
    <w:tblPr>
      <w:tblOverlap w:val="nev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cPr>
      <w:shd w:val="clear" w:color="auto" w:fill="auto"/>
    </w:tcPr>
    <w:tblStylePr w:type="firstRow">
      <w:pPr>
        <w:jc w:val="left"/>
      </w:pPr>
      <w:rPr>
        <w:rFonts w:ascii="Calibri" w:hAnsi="Calibri"/>
        <w:b/>
        <w:i w:val="0"/>
        <w:color w:val="FFFFFF"/>
        <w:sz w:val="22"/>
      </w:rPr>
      <w:tblPr/>
      <w:tcPr>
        <w:shd w:val="clear" w:color="auto" w:fill="7F7F7F"/>
      </w:tcPr>
    </w:tblStylePr>
  </w:style>
  <w:style w:type="table" w:styleId="ColorfulGrid-Accent3">
    <w:name w:val="Colorful Grid Accent 3"/>
    <w:basedOn w:val="TableNormal"/>
    <w:rsid w:val="00D87C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TableSimple3">
    <w:name w:val="Table Simple 3"/>
    <w:basedOn w:val="TableNormal"/>
    <w:rsid w:val="00A20F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customStyle="1" w:styleId="TableBlue2">
    <w:name w:val="Table Blue 2"/>
    <w:basedOn w:val="TableNormal"/>
    <w:uiPriority w:val="99"/>
    <w:rsid w:val="00D87CFD"/>
    <w:tblPr>
      <w:tblStyleRowBandSize w:val="1"/>
      <w:tblStyleColBandSize w:val="1"/>
    </w:tblPr>
    <w:tblStylePr w:type="firstRow">
      <w:tblPr/>
      <w:tcPr>
        <w:shd w:val="clear" w:color="auto" w:fill="1960AB"/>
      </w:tcPr>
    </w:tblStylePr>
  </w:style>
  <w:style w:type="table" w:customStyle="1" w:styleId="TableBlue1">
    <w:name w:val="Table Blue 1"/>
    <w:basedOn w:val="TableNormal"/>
    <w:uiPriority w:val="99"/>
    <w:rsid w:val="00A20FF8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FFFFFF"/>
    </w:tcPr>
    <w:tblStylePr w:type="firstRow">
      <w:tblPr/>
      <w:tcPr>
        <w:shd w:val="clear" w:color="auto" w:fill="1960AB"/>
      </w:tcPr>
    </w:tblStylePr>
  </w:style>
  <w:style w:type="table" w:customStyle="1" w:styleId="TablePink">
    <w:name w:val="Table Pink"/>
    <w:basedOn w:val="TableNormal"/>
    <w:uiPriority w:val="99"/>
    <w:rsid w:val="00D87CFD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tblPr/>
      <w:tcPr>
        <w:shd w:val="clear" w:color="auto" w:fill="A1368B"/>
      </w:tcPr>
    </w:tblStylePr>
  </w:style>
  <w:style w:type="table" w:customStyle="1" w:styleId="TableGreen">
    <w:name w:val="Table Green"/>
    <w:basedOn w:val="TableNormal"/>
    <w:uiPriority w:val="99"/>
    <w:rsid w:val="00D87CFD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tblPr/>
      <w:tcPr>
        <w:shd w:val="clear" w:color="auto" w:fill="7CBC60"/>
      </w:tcPr>
    </w:tblStylePr>
  </w:style>
  <w:style w:type="table" w:styleId="TableWeb3">
    <w:name w:val="Table Web 3"/>
    <w:basedOn w:val="TableNormal"/>
    <w:rsid w:val="00D87C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LightGrid">
    <w:name w:val="Light Grid"/>
    <w:basedOn w:val="TableNormal"/>
    <w:rsid w:val="00D87C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Mincho" w:hAnsi="Calibri" w:cs="Times New Roman"/>
        <w:b/>
        <w:bCs/>
      </w:rPr>
      <w:tblPr/>
      <w:tcPr>
        <w:shd w:val="clear" w:color="auto" w:fill="7F7F7F"/>
      </w:tcPr>
    </w:tblStylePr>
    <w:tblStylePr w:type="lastRow">
      <w:pPr>
        <w:spacing w:before="0" w:after="0" w:line="240" w:lineRule="auto"/>
      </w:pPr>
      <w:rPr>
        <w:rFonts w:ascii="Calibri" w:eastAsia="MS Mincho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Mincho" w:hAnsi="Calibri" w:cs="Times New Roman"/>
        <w:b/>
        <w:bCs/>
      </w:rPr>
    </w:tblStylePr>
    <w:tblStylePr w:type="lastCol">
      <w:rPr>
        <w:rFonts w:ascii="Calibri" w:eastAsia="MS Mincho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nelessTablePink">
    <w:name w:val="Lineless Table Pink"/>
    <w:basedOn w:val="TableNormal"/>
    <w:uiPriority w:val="99"/>
    <w:rsid w:val="00C506D2"/>
    <w:tblPr/>
    <w:tblStylePr w:type="firstRow">
      <w:tblPr/>
      <w:tcPr>
        <w:shd w:val="clear" w:color="auto" w:fill="A1368B"/>
      </w:tcPr>
    </w:tblStylePr>
  </w:style>
  <w:style w:type="table" w:customStyle="1" w:styleId="LinelessTableGreen">
    <w:name w:val="Lineless Table Green"/>
    <w:basedOn w:val="TableNormal"/>
    <w:uiPriority w:val="99"/>
    <w:rsid w:val="00C506D2"/>
    <w:tblPr/>
    <w:tblStylePr w:type="firstRow">
      <w:tblPr/>
      <w:tcPr>
        <w:shd w:val="clear" w:color="auto" w:fill="7CBC60"/>
      </w:tcPr>
    </w:tblStylePr>
  </w:style>
  <w:style w:type="paragraph" w:customStyle="1" w:styleId="TABLEHEADINGCAPPEDWHITE">
    <w:name w:val="TABLE HEADING CAPPED WHITE"/>
    <w:basedOn w:val="HeadingCapped"/>
    <w:qFormat/>
    <w:rsid w:val="00185FA2"/>
    <w:rPr>
      <w:b w:val="0"/>
      <w:color w:val="FFFFFF"/>
      <w:sz w:val="22"/>
    </w:rPr>
  </w:style>
  <w:style w:type="paragraph" w:customStyle="1" w:styleId="TableHeadingWhite">
    <w:name w:val="Table Heading White"/>
    <w:basedOn w:val="TableTextDark"/>
    <w:qFormat/>
    <w:rsid w:val="00C506D2"/>
    <w:rPr>
      <w:color w:val="FFFFFF"/>
    </w:rPr>
  </w:style>
  <w:style w:type="paragraph" w:customStyle="1" w:styleId="HeadingNormal">
    <w:name w:val="Heading Normal"/>
    <w:basedOn w:val="Normal"/>
    <w:qFormat/>
    <w:rsid w:val="00170991"/>
    <w:rPr>
      <w:color w:val="595959"/>
      <w:sz w:val="28"/>
      <w:szCs w:val="28"/>
    </w:rPr>
  </w:style>
  <w:style w:type="paragraph" w:customStyle="1" w:styleId="HeadingBluenormal">
    <w:name w:val="Heading Blue normal"/>
    <w:basedOn w:val="HeadingNormal"/>
    <w:qFormat/>
    <w:rsid w:val="00170991"/>
    <w:rPr>
      <w:color w:val="1960AB"/>
    </w:rPr>
  </w:style>
  <w:style w:type="paragraph" w:customStyle="1" w:styleId="HeadingPinkNormal">
    <w:name w:val="Heading Pink Normal"/>
    <w:basedOn w:val="Normal"/>
    <w:qFormat/>
    <w:rsid w:val="00170991"/>
    <w:rPr>
      <w:color w:val="A1368B"/>
      <w:sz w:val="28"/>
      <w:szCs w:val="28"/>
    </w:rPr>
  </w:style>
  <w:style w:type="paragraph" w:customStyle="1" w:styleId="HeadingGreenNormal">
    <w:name w:val="Heading Green Normal"/>
    <w:basedOn w:val="Normal"/>
    <w:qFormat/>
    <w:rsid w:val="00170991"/>
    <w:rPr>
      <w:color w:val="7CBC60"/>
      <w:sz w:val="28"/>
      <w:szCs w:val="28"/>
    </w:rPr>
  </w:style>
  <w:style w:type="paragraph" w:customStyle="1" w:styleId="TableHeading">
    <w:name w:val="Table Heading"/>
    <w:basedOn w:val="TableHeadingWhite"/>
    <w:qFormat/>
    <w:rsid w:val="00185FA2"/>
    <w:rPr>
      <w:color w:val="595959"/>
    </w:rPr>
  </w:style>
  <w:style w:type="paragraph" w:customStyle="1" w:styleId="TABLEHEADINGCAPPED">
    <w:name w:val="TABLE HEADING CAPPED"/>
    <w:basedOn w:val="TABLEHEADINGCAPPEDWHITE"/>
    <w:next w:val="HeadingCapped"/>
    <w:qFormat/>
    <w:rsid w:val="00185FA2"/>
    <w:rPr>
      <w:color w:val="595959"/>
    </w:rPr>
  </w:style>
  <w:style w:type="paragraph" w:customStyle="1" w:styleId="TABLEHEADINGCAPPEDBOLD">
    <w:name w:val="TABLE HEADING CAPPED BOLD"/>
    <w:basedOn w:val="TABLEHEADINGCAPPEDWHITE"/>
    <w:next w:val="HeadingCappedBoldandBlue"/>
    <w:qFormat/>
    <w:rsid w:val="00185FA2"/>
    <w:rPr>
      <w:b/>
      <w:color w:val="595959"/>
    </w:rPr>
  </w:style>
  <w:style w:type="paragraph" w:customStyle="1" w:styleId="TABLEHEADINGCAPPEDBOLDANDWHITE">
    <w:name w:val="TABLE HEADING CAPPED BOLD AND WHITE"/>
    <w:basedOn w:val="TABLEHEADINGCAPPEDWHITE"/>
    <w:qFormat/>
    <w:rsid w:val="00185FA2"/>
    <w:rPr>
      <w:b/>
    </w:rPr>
  </w:style>
  <w:style w:type="table" w:customStyle="1" w:styleId="LinelessTableGrey">
    <w:name w:val="Lineless Table Grey"/>
    <w:basedOn w:val="TableNormal"/>
    <w:uiPriority w:val="99"/>
    <w:rsid w:val="001D0C78"/>
    <w:tblPr/>
    <w:tblStylePr w:type="firstRow">
      <w:rPr>
        <w:color w:val="595959"/>
      </w:rPr>
      <w:tblPr/>
      <w:tcPr>
        <w:shd w:val="clear" w:color="auto" w:fill="595959"/>
      </w:tcPr>
    </w:tblStylePr>
  </w:style>
  <w:style w:type="paragraph" w:styleId="ListParagraph">
    <w:name w:val="List Paragraph"/>
    <w:basedOn w:val="Normal"/>
    <w:uiPriority w:val="34"/>
    <w:qFormat/>
    <w:rsid w:val="00FF48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character" w:styleId="CommentReference">
    <w:name w:val="annotation reference"/>
    <w:basedOn w:val="DefaultParagraphFont"/>
    <w:rsid w:val="00995F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5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5F67"/>
    <w:rPr>
      <w:color w:val="606362"/>
    </w:rPr>
  </w:style>
  <w:style w:type="paragraph" w:styleId="CommentSubject">
    <w:name w:val="annotation subject"/>
    <w:basedOn w:val="CommentText"/>
    <w:next w:val="CommentText"/>
    <w:link w:val="CommentSubjectChar"/>
    <w:rsid w:val="00995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5F67"/>
    <w:rPr>
      <w:b/>
      <w:bCs/>
      <w:color w:val="606362"/>
    </w:rPr>
  </w:style>
  <w:style w:type="paragraph" w:styleId="FootnoteText">
    <w:name w:val="footnote text"/>
    <w:basedOn w:val="Normal"/>
    <w:link w:val="FootnoteTextChar"/>
    <w:rsid w:val="002A7D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A7DF4"/>
    <w:rPr>
      <w:color w:val="606362"/>
    </w:rPr>
  </w:style>
  <w:style w:type="character" w:styleId="FootnoteReference">
    <w:name w:val="footnote reference"/>
    <w:basedOn w:val="DefaultParagraphFont"/>
    <w:rsid w:val="002A7DF4"/>
    <w:rPr>
      <w:vertAlign w:val="superscript"/>
    </w:rPr>
  </w:style>
  <w:style w:type="paragraph" w:styleId="EndnoteText">
    <w:name w:val="endnote text"/>
    <w:basedOn w:val="Normal"/>
    <w:link w:val="EndnoteTextChar"/>
    <w:rsid w:val="0046377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63775"/>
    <w:rPr>
      <w:color w:val="606362"/>
    </w:rPr>
  </w:style>
  <w:style w:type="character" w:styleId="EndnoteReference">
    <w:name w:val="endnote reference"/>
    <w:basedOn w:val="DefaultParagraphFont"/>
    <w:rsid w:val="004637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er" w:uiPriority="99"/>
    <w:lsdException w:name="footer" w:uiPriority="99"/>
    <w:lsdException w:name="List Paragraph" w:uiPriority="34" w:qFormat="1"/>
  </w:latentStyles>
  <w:style w:type="paragraph" w:default="1" w:styleId="Normal">
    <w:name w:val="Normal"/>
    <w:next w:val="NormalBody"/>
    <w:qFormat/>
    <w:rsid w:val="008A2FCE"/>
    <w:rPr>
      <w:color w:val="606362"/>
      <w:sz w:val="24"/>
      <w:szCs w:val="22"/>
    </w:rPr>
  </w:style>
  <w:style w:type="paragraph" w:styleId="Heading1">
    <w:name w:val="heading 1"/>
    <w:aliases w:val="Heading Capped Blue"/>
    <w:basedOn w:val="Heading2"/>
    <w:next w:val="Normal"/>
    <w:link w:val="Heading1Char"/>
    <w:uiPriority w:val="9"/>
    <w:rsid w:val="00E658BC"/>
    <w:pPr>
      <w:spacing w:before="360"/>
      <w:outlineLvl w:val="0"/>
    </w:pPr>
    <w:rPr>
      <w:b w:val="0"/>
      <w: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8BA"/>
    <w:pPr>
      <w:outlineLvl w:val="1"/>
    </w:pPr>
    <w:rPr>
      <w:b/>
      <w:color w:val="1960A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DA4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apped Blue Char"/>
    <w:link w:val="Heading1"/>
    <w:uiPriority w:val="9"/>
    <w:rsid w:val="00E658BC"/>
    <w:rPr>
      <w:caps/>
      <w:color w:val="1960AB"/>
      <w:sz w:val="28"/>
    </w:rPr>
  </w:style>
  <w:style w:type="paragraph" w:customStyle="1" w:styleId="Headertext">
    <w:name w:val="Header text"/>
    <w:basedOn w:val="Title"/>
    <w:rsid w:val="004C5911"/>
    <w:pPr>
      <w:pBdr>
        <w:bottom w:val="dotted" w:sz="4" w:space="1" w:color="FFFFFF"/>
      </w:pBdr>
      <w:suppressAutoHyphens/>
    </w:pPr>
    <w:rPr>
      <w:rFonts w:eastAsia="Times New Roman"/>
      <w:b/>
      <w:color w:val="FFFFFF"/>
      <w:lang w:val="en-US"/>
    </w:rPr>
  </w:style>
  <w:style w:type="paragraph" w:styleId="Title">
    <w:name w:val="Title"/>
    <w:aliases w:val="Page/Section Title"/>
    <w:basedOn w:val="Normal"/>
    <w:next w:val="Normal"/>
    <w:link w:val="TitleChar"/>
    <w:uiPriority w:val="10"/>
    <w:rsid w:val="004A696F"/>
    <w:pPr>
      <w:pBdr>
        <w:bottom w:val="dotted" w:sz="4" w:space="4" w:color="5BBF21"/>
      </w:pBdr>
      <w:spacing w:after="300"/>
      <w:contextualSpacing/>
    </w:pPr>
    <w:rPr>
      <w:rFonts w:eastAsia="MS Mincho"/>
      <w:caps/>
      <w:color w:val="003893"/>
      <w:spacing w:val="5"/>
      <w:kern w:val="28"/>
      <w:sz w:val="52"/>
      <w:szCs w:val="52"/>
    </w:rPr>
  </w:style>
  <w:style w:type="character" w:customStyle="1" w:styleId="TitleChar">
    <w:name w:val="Title Char"/>
    <w:aliases w:val="Page/Section Title Char"/>
    <w:link w:val="Title"/>
    <w:uiPriority w:val="10"/>
    <w:rsid w:val="004A696F"/>
    <w:rPr>
      <w:rFonts w:eastAsia="MS Mincho" w:cs="Times New Roman"/>
      <w:caps/>
      <w:color w:val="003893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261A0E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en-GB"/>
    </w:rPr>
  </w:style>
  <w:style w:type="character" w:styleId="Strong">
    <w:name w:val="Strong"/>
    <w:uiPriority w:val="22"/>
    <w:qFormat/>
    <w:rsid w:val="00B151ED"/>
    <w:rPr>
      <w:b/>
      <w:bCs/>
      <w:color w:val="606362"/>
    </w:rPr>
  </w:style>
  <w:style w:type="character" w:styleId="Emphasis">
    <w:name w:val="Emphasis"/>
    <w:uiPriority w:val="20"/>
    <w:qFormat/>
    <w:rsid w:val="00B151ED"/>
    <w:rPr>
      <w:i/>
      <w:iCs/>
      <w:color w:val="606362"/>
    </w:rPr>
  </w:style>
  <w:style w:type="character" w:styleId="IntenseEmphasis">
    <w:name w:val="Intense Emphasis"/>
    <w:aliases w:val="Intense Emphasis Blue"/>
    <w:uiPriority w:val="21"/>
    <w:qFormat/>
    <w:rsid w:val="00D33639"/>
    <w:rPr>
      <w:b/>
      <w:bCs/>
      <w:i/>
      <w:color w:val="1960AB"/>
    </w:rPr>
  </w:style>
  <w:style w:type="paragraph" w:styleId="Subtitle">
    <w:name w:val="Subtitle"/>
    <w:aliases w:val="Introductory paragraph"/>
    <w:basedOn w:val="Normal"/>
    <w:next w:val="Normal"/>
    <w:link w:val="SubtitleChar"/>
    <w:uiPriority w:val="11"/>
    <w:qFormat/>
    <w:rsid w:val="00A008BA"/>
    <w:rPr>
      <w:color w:val="1960AB"/>
      <w:sz w:val="28"/>
    </w:rPr>
  </w:style>
  <w:style w:type="character" w:customStyle="1" w:styleId="SubtitleChar">
    <w:name w:val="Subtitle Char"/>
    <w:aliases w:val="Introductory paragraph Char"/>
    <w:link w:val="Subtitle"/>
    <w:uiPriority w:val="11"/>
    <w:rsid w:val="00A008BA"/>
    <w:rPr>
      <w:color w:val="1960AB"/>
      <w:sz w:val="28"/>
    </w:rPr>
  </w:style>
  <w:style w:type="character" w:customStyle="1" w:styleId="Heading2Char">
    <w:name w:val="Heading 2 Char"/>
    <w:link w:val="Heading2"/>
    <w:uiPriority w:val="9"/>
    <w:rsid w:val="00A008BA"/>
    <w:rPr>
      <w:b/>
      <w:color w:val="1960AB"/>
      <w:sz w:val="24"/>
    </w:rPr>
  </w:style>
  <w:style w:type="character" w:customStyle="1" w:styleId="Heading3Char">
    <w:name w:val="Heading 3 Char"/>
    <w:link w:val="Heading3"/>
    <w:uiPriority w:val="9"/>
    <w:rsid w:val="00F27DA4"/>
    <w:rPr>
      <w:b/>
      <w:color w:val="606362"/>
      <w:sz w:val="24"/>
    </w:rPr>
  </w:style>
  <w:style w:type="paragraph" w:styleId="NoSpacing">
    <w:name w:val="No Spacing"/>
    <w:aliases w:val="Table text"/>
    <w:uiPriority w:val="1"/>
    <w:qFormat/>
    <w:rsid w:val="001A5D77"/>
    <w:rPr>
      <w:color w:val="606362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151ED"/>
    <w:rPr>
      <w:i/>
      <w:iCs/>
    </w:rPr>
  </w:style>
  <w:style w:type="character" w:customStyle="1" w:styleId="QuoteChar">
    <w:name w:val="Quote Char"/>
    <w:link w:val="Quote"/>
    <w:uiPriority w:val="29"/>
    <w:rsid w:val="00B151ED"/>
    <w:rPr>
      <w:i/>
      <w:iCs/>
      <w:color w:val="606362"/>
      <w:sz w:val="24"/>
    </w:rPr>
  </w:style>
  <w:style w:type="character" w:styleId="BookTitle">
    <w:name w:val="Book Title"/>
    <w:uiPriority w:val="33"/>
    <w:qFormat/>
    <w:rsid w:val="00B151ED"/>
    <w:rPr>
      <w:b/>
      <w:bCs/>
      <w:smallCaps/>
      <w:color w:val="606362"/>
      <w:spacing w:val="5"/>
    </w:rPr>
  </w:style>
  <w:style w:type="table" w:styleId="TableGrid">
    <w:name w:val="Table Grid"/>
    <w:basedOn w:val="TableNormal"/>
    <w:uiPriority w:val="59"/>
    <w:rsid w:val="003A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1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7179"/>
    <w:rPr>
      <w:color w:val="606362"/>
      <w:sz w:val="24"/>
    </w:rPr>
  </w:style>
  <w:style w:type="paragraph" w:styleId="Footer">
    <w:name w:val="footer"/>
    <w:basedOn w:val="Normal"/>
    <w:link w:val="FooterChar"/>
    <w:uiPriority w:val="99"/>
    <w:unhideWhenUsed/>
    <w:rsid w:val="009471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7179"/>
    <w:rPr>
      <w:color w:val="60636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7179"/>
    <w:rPr>
      <w:rFonts w:ascii="Tahoma" w:hAnsi="Tahoma" w:cs="Tahoma"/>
      <w:color w:val="606362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80F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customStyle="1" w:styleId="IntenseEmphasisPink">
    <w:name w:val="Intense Emphasis Pink"/>
    <w:basedOn w:val="Normal"/>
    <w:qFormat/>
    <w:rsid w:val="00D33639"/>
    <w:rPr>
      <w:b/>
      <w:i/>
      <w:color w:val="A1368B"/>
    </w:rPr>
  </w:style>
  <w:style w:type="paragraph" w:customStyle="1" w:styleId="IntenseEmphasisGreen">
    <w:name w:val="Intense Emphasis Green"/>
    <w:basedOn w:val="Normal"/>
    <w:qFormat/>
    <w:rsid w:val="00D33639"/>
    <w:rPr>
      <w:b/>
      <w:i/>
      <w:color w:val="7CBC60"/>
    </w:rPr>
  </w:style>
  <w:style w:type="paragraph" w:customStyle="1" w:styleId="NormalDark">
    <w:name w:val="Normal Dark"/>
    <w:basedOn w:val="Normal"/>
    <w:qFormat/>
    <w:rsid w:val="008A2FCE"/>
    <w:rPr>
      <w:color w:val="262626"/>
    </w:rPr>
  </w:style>
  <w:style w:type="paragraph" w:customStyle="1" w:styleId="NoteLevel21">
    <w:name w:val="Note Level 21"/>
    <w:basedOn w:val="Normal"/>
    <w:rsid w:val="000B28B6"/>
    <w:pPr>
      <w:keepNext/>
      <w:numPr>
        <w:ilvl w:val="1"/>
        <w:numId w:val="1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rsid w:val="000B28B6"/>
    <w:pPr>
      <w:keepNext/>
      <w:numPr>
        <w:ilvl w:val="2"/>
        <w:numId w:val="1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rsid w:val="000B28B6"/>
    <w:pPr>
      <w:keepNext/>
      <w:numPr>
        <w:ilvl w:val="3"/>
        <w:numId w:val="1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rsid w:val="000B28B6"/>
    <w:pPr>
      <w:keepNext/>
      <w:numPr>
        <w:ilvl w:val="4"/>
        <w:numId w:val="1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rsid w:val="000B28B6"/>
    <w:pPr>
      <w:keepNext/>
      <w:numPr>
        <w:ilvl w:val="5"/>
        <w:numId w:val="1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rsid w:val="000B28B6"/>
    <w:pPr>
      <w:keepNext/>
      <w:numPr>
        <w:ilvl w:val="6"/>
        <w:numId w:val="1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rsid w:val="000B28B6"/>
    <w:pPr>
      <w:keepNext/>
      <w:numPr>
        <w:ilvl w:val="7"/>
        <w:numId w:val="1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rsid w:val="000B28B6"/>
    <w:pPr>
      <w:keepNext/>
      <w:numPr>
        <w:ilvl w:val="8"/>
        <w:numId w:val="11"/>
      </w:numPr>
      <w:contextualSpacing/>
      <w:outlineLvl w:val="8"/>
    </w:pPr>
    <w:rPr>
      <w:rFonts w:ascii="Verdana" w:eastAsia="MS Gothic" w:hAnsi="Verdana"/>
    </w:rPr>
  </w:style>
  <w:style w:type="paragraph" w:customStyle="1" w:styleId="DocumentTitle">
    <w:name w:val="Document Title"/>
    <w:basedOn w:val="Normal"/>
    <w:qFormat/>
    <w:rsid w:val="00227686"/>
    <w:rPr>
      <w:b/>
      <w:sz w:val="70"/>
      <w:szCs w:val="70"/>
    </w:rPr>
  </w:style>
  <w:style w:type="paragraph" w:customStyle="1" w:styleId="SubtitleBlue">
    <w:name w:val="Subtitle Blue"/>
    <w:basedOn w:val="SubtitleGreen"/>
    <w:qFormat/>
    <w:rsid w:val="00227686"/>
    <w:rPr>
      <w:color w:val="1960AB"/>
    </w:rPr>
  </w:style>
  <w:style w:type="paragraph" w:customStyle="1" w:styleId="SubtitlePink">
    <w:name w:val="Subtitle Pink"/>
    <w:basedOn w:val="Normal"/>
    <w:qFormat/>
    <w:rsid w:val="000B6408"/>
    <w:pPr>
      <w:keepNext/>
      <w:tabs>
        <w:tab w:val="num" w:pos="0"/>
      </w:tabs>
      <w:contextualSpacing/>
      <w:outlineLvl w:val="0"/>
    </w:pPr>
    <w:rPr>
      <w:rFonts w:eastAsia="MS Gothic"/>
      <w:color w:val="A1368B"/>
      <w:sz w:val="50"/>
      <w:szCs w:val="50"/>
    </w:rPr>
  </w:style>
  <w:style w:type="paragraph" w:customStyle="1" w:styleId="SubtitleGreen">
    <w:name w:val="Subtitle Green"/>
    <w:basedOn w:val="SubtitlePink"/>
    <w:qFormat/>
    <w:rsid w:val="00227686"/>
    <w:rPr>
      <w:color w:val="7CBC60"/>
    </w:rPr>
  </w:style>
  <w:style w:type="paragraph" w:customStyle="1" w:styleId="HeadingBold">
    <w:name w:val="Heading Bold"/>
    <w:basedOn w:val="Header"/>
    <w:next w:val="Normal"/>
    <w:qFormat/>
    <w:rsid w:val="00D33639"/>
    <w:rPr>
      <w:b/>
      <w:sz w:val="28"/>
      <w:szCs w:val="28"/>
    </w:rPr>
  </w:style>
  <w:style w:type="paragraph" w:customStyle="1" w:styleId="HeadingBlue">
    <w:name w:val="Heading Blue"/>
    <w:basedOn w:val="Heading2"/>
    <w:next w:val="Normal"/>
    <w:rsid w:val="00D33639"/>
    <w:rPr>
      <w:sz w:val="28"/>
      <w:szCs w:val="28"/>
    </w:rPr>
  </w:style>
  <w:style w:type="paragraph" w:customStyle="1" w:styleId="HeadingCappedPink">
    <w:name w:val="Heading Capped Pink"/>
    <w:basedOn w:val="Heading1"/>
    <w:next w:val="Normal"/>
    <w:rsid w:val="00E658BC"/>
    <w:rPr>
      <w:color w:val="A1368B"/>
    </w:rPr>
  </w:style>
  <w:style w:type="paragraph" w:customStyle="1" w:styleId="HeadingCappedGreen">
    <w:name w:val="Heading Capped Green"/>
    <w:basedOn w:val="Heading1"/>
    <w:next w:val="Normal"/>
    <w:rsid w:val="00E658BC"/>
    <w:rPr>
      <w:color w:val="7CBC60"/>
    </w:rPr>
  </w:style>
  <w:style w:type="paragraph" w:customStyle="1" w:styleId="HeadingBoldBlue">
    <w:name w:val="Heading Bold Blue"/>
    <w:basedOn w:val="HeadingBlue"/>
    <w:next w:val="Normal"/>
    <w:qFormat/>
    <w:rsid w:val="00E658BC"/>
  </w:style>
  <w:style w:type="paragraph" w:customStyle="1" w:styleId="HeadingBoldPink">
    <w:name w:val="Heading Bold Pink"/>
    <w:basedOn w:val="HeadingBlue"/>
    <w:next w:val="Normal"/>
    <w:qFormat/>
    <w:rsid w:val="00E658BC"/>
    <w:rPr>
      <w:color w:val="A1368B"/>
    </w:rPr>
  </w:style>
  <w:style w:type="paragraph" w:customStyle="1" w:styleId="HeadingBoldGreen">
    <w:name w:val="Heading Bold Green"/>
    <w:basedOn w:val="Heading2"/>
    <w:next w:val="Normal"/>
    <w:qFormat/>
    <w:rsid w:val="007F2605"/>
    <w:rPr>
      <w:color w:val="7CBC60"/>
      <w:sz w:val="28"/>
      <w:szCs w:val="28"/>
    </w:rPr>
  </w:style>
  <w:style w:type="paragraph" w:customStyle="1" w:styleId="HeadingCappedBoldandBlue">
    <w:name w:val="Heading Capped Bold and Blue"/>
    <w:basedOn w:val="Heading1"/>
    <w:next w:val="Normal"/>
    <w:qFormat/>
    <w:rsid w:val="008A2FCE"/>
    <w:pPr>
      <w:spacing w:before="0"/>
    </w:pPr>
    <w:rPr>
      <w:b/>
    </w:rPr>
  </w:style>
  <w:style w:type="paragraph" w:customStyle="1" w:styleId="HeadingCappedBoldandPink">
    <w:name w:val="Heading Capped Bold and Pink"/>
    <w:basedOn w:val="HeadingCappedBoldandBlue"/>
    <w:next w:val="Normal"/>
    <w:qFormat/>
    <w:rsid w:val="008A2FCE"/>
    <w:rPr>
      <w:color w:val="A1368B"/>
    </w:rPr>
  </w:style>
  <w:style w:type="paragraph" w:customStyle="1" w:styleId="HeadingCappedBoldandGreen">
    <w:name w:val="Heading Capped Bold and Green"/>
    <w:basedOn w:val="HeadingCappedBoldandPink"/>
    <w:next w:val="Normal"/>
    <w:qFormat/>
    <w:rsid w:val="008A2FCE"/>
    <w:rPr>
      <w:color w:val="7CBC60"/>
    </w:rPr>
  </w:style>
  <w:style w:type="paragraph" w:customStyle="1" w:styleId="NormalBody">
    <w:name w:val="Normal Body"/>
    <w:basedOn w:val="Normal"/>
    <w:next w:val="Normal"/>
    <w:rsid w:val="000B6408"/>
  </w:style>
  <w:style w:type="paragraph" w:customStyle="1" w:styleId="TableTextDark">
    <w:name w:val="Table Text Dark"/>
    <w:basedOn w:val="NoSpacing"/>
    <w:qFormat/>
    <w:rsid w:val="00227686"/>
    <w:rPr>
      <w:color w:val="262626"/>
    </w:rPr>
  </w:style>
  <w:style w:type="paragraph" w:customStyle="1" w:styleId="HeadingCapped">
    <w:name w:val="Heading Capped"/>
    <w:basedOn w:val="HeadingCappedBoldandBlue"/>
    <w:qFormat/>
    <w:rsid w:val="00354F9C"/>
    <w:rPr>
      <w:color w:val="595959"/>
    </w:rPr>
  </w:style>
  <w:style w:type="paragraph" w:customStyle="1" w:styleId="NoteLevel1">
    <w:name w:val="Note Level 1"/>
    <w:basedOn w:val="Normal"/>
    <w:rsid w:val="00D92FBA"/>
    <w:pPr>
      <w:keepNext/>
      <w:numPr>
        <w:numId w:val="11"/>
      </w:numPr>
      <w:contextualSpacing/>
      <w:outlineLvl w:val="0"/>
    </w:pPr>
    <w:rPr>
      <w:rFonts w:ascii="Verdana" w:eastAsia="MS Gothic" w:hAnsi="Verdana"/>
    </w:rPr>
  </w:style>
  <w:style w:type="table" w:styleId="ColorfulList-Accent6">
    <w:name w:val="Colorful List Accent 6"/>
    <w:basedOn w:val="TableNormal"/>
    <w:rsid w:val="00D92FB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List">
    <w:name w:val="Colorful List"/>
    <w:basedOn w:val="TableNormal"/>
    <w:rsid w:val="00D92FB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TableTheme">
    <w:name w:val="Table Theme"/>
    <w:basedOn w:val="TableNormal"/>
    <w:rsid w:val="00D9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rsid w:val="00A20FF8"/>
    <w:tblPr>
      <w:tblOverlap w:val="nev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cPr>
      <w:shd w:val="clear" w:color="auto" w:fill="auto"/>
    </w:tcPr>
    <w:tblStylePr w:type="firstRow">
      <w:pPr>
        <w:jc w:val="left"/>
      </w:pPr>
      <w:rPr>
        <w:rFonts w:ascii="Calibri" w:hAnsi="Calibri"/>
        <w:b/>
        <w:i w:val="0"/>
        <w:color w:val="FFFFFF"/>
        <w:sz w:val="22"/>
      </w:rPr>
      <w:tblPr/>
      <w:tcPr>
        <w:shd w:val="clear" w:color="auto" w:fill="7F7F7F"/>
      </w:tcPr>
    </w:tblStylePr>
  </w:style>
  <w:style w:type="table" w:styleId="ColorfulGrid-Accent3">
    <w:name w:val="Colorful Grid Accent 3"/>
    <w:basedOn w:val="TableNormal"/>
    <w:rsid w:val="00D87C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TableSimple3">
    <w:name w:val="Table Simple 3"/>
    <w:basedOn w:val="TableNormal"/>
    <w:rsid w:val="00A20F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customStyle="1" w:styleId="TableBlue2">
    <w:name w:val="Table Blue 2"/>
    <w:basedOn w:val="TableNormal"/>
    <w:uiPriority w:val="99"/>
    <w:rsid w:val="00D87CFD"/>
    <w:tblPr>
      <w:tblStyleRowBandSize w:val="1"/>
      <w:tblStyleColBandSize w:val="1"/>
    </w:tblPr>
    <w:tblStylePr w:type="firstRow">
      <w:tblPr/>
      <w:tcPr>
        <w:shd w:val="clear" w:color="auto" w:fill="1960AB"/>
      </w:tcPr>
    </w:tblStylePr>
  </w:style>
  <w:style w:type="table" w:customStyle="1" w:styleId="TableBlue1">
    <w:name w:val="Table Blue 1"/>
    <w:basedOn w:val="TableNormal"/>
    <w:uiPriority w:val="99"/>
    <w:rsid w:val="00A20FF8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FFFFFF"/>
    </w:tcPr>
    <w:tblStylePr w:type="firstRow">
      <w:tblPr/>
      <w:tcPr>
        <w:shd w:val="clear" w:color="auto" w:fill="1960AB"/>
      </w:tcPr>
    </w:tblStylePr>
  </w:style>
  <w:style w:type="table" w:customStyle="1" w:styleId="TablePink">
    <w:name w:val="Table Pink"/>
    <w:basedOn w:val="TableNormal"/>
    <w:uiPriority w:val="99"/>
    <w:rsid w:val="00D87CFD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tblPr/>
      <w:tcPr>
        <w:shd w:val="clear" w:color="auto" w:fill="A1368B"/>
      </w:tcPr>
    </w:tblStylePr>
  </w:style>
  <w:style w:type="table" w:customStyle="1" w:styleId="TableGreen">
    <w:name w:val="Table Green"/>
    <w:basedOn w:val="TableNormal"/>
    <w:uiPriority w:val="99"/>
    <w:rsid w:val="00D87CFD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tblPr/>
      <w:tcPr>
        <w:shd w:val="clear" w:color="auto" w:fill="7CBC60"/>
      </w:tcPr>
    </w:tblStylePr>
  </w:style>
  <w:style w:type="table" w:styleId="TableWeb3">
    <w:name w:val="Table Web 3"/>
    <w:basedOn w:val="TableNormal"/>
    <w:rsid w:val="00D87C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LightGrid">
    <w:name w:val="Light Grid"/>
    <w:basedOn w:val="TableNormal"/>
    <w:rsid w:val="00D87C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Mincho" w:hAnsi="Calibri" w:cs="Times New Roman"/>
        <w:b/>
        <w:bCs/>
      </w:rPr>
      <w:tblPr/>
      <w:tcPr>
        <w:shd w:val="clear" w:color="auto" w:fill="7F7F7F"/>
      </w:tcPr>
    </w:tblStylePr>
    <w:tblStylePr w:type="lastRow">
      <w:pPr>
        <w:spacing w:before="0" w:after="0" w:line="240" w:lineRule="auto"/>
      </w:pPr>
      <w:rPr>
        <w:rFonts w:ascii="Calibri" w:eastAsia="MS Mincho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Mincho" w:hAnsi="Calibri" w:cs="Times New Roman"/>
        <w:b/>
        <w:bCs/>
      </w:rPr>
    </w:tblStylePr>
    <w:tblStylePr w:type="lastCol">
      <w:rPr>
        <w:rFonts w:ascii="Calibri" w:eastAsia="MS Mincho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nelessTablePink">
    <w:name w:val="Lineless Table Pink"/>
    <w:basedOn w:val="TableNormal"/>
    <w:uiPriority w:val="99"/>
    <w:rsid w:val="00C506D2"/>
    <w:tblPr/>
    <w:tblStylePr w:type="firstRow">
      <w:tblPr/>
      <w:tcPr>
        <w:shd w:val="clear" w:color="auto" w:fill="A1368B"/>
      </w:tcPr>
    </w:tblStylePr>
  </w:style>
  <w:style w:type="table" w:customStyle="1" w:styleId="LinelessTableGreen">
    <w:name w:val="Lineless Table Green"/>
    <w:basedOn w:val="TableNormal"/>
    <w:uiPriority w:val="99"/>
    <w:rsid w:val="00C506D2"/>
    <w:tblPr/>
    <w:tblStylePr w:type="firstRow">
      <w:tblPr/>
      <w:tcPr>
        <w:shd w:val="clear" w:color="auto" w:fill="7CBC60"/>
      </w:tcPr>
    </w:tblStylePr>
  </w:style>
  <w:style w:type="paragraph" w:customStyle="1" w:styleId="TABLEHEADINGCAPPEDWHITE">
    <w:name w:val="TABLE HEADING CAPPED WHITE"/>
    <w:basedOn w:val="HeadingCapped"/>
    <w:qFormat/>
    <w:rsid w:val="00185FA2"/>
    <w:rPr>
      <w:b w:val="0"/>
      <w:color w:val="FFFFFF"/>
      <w:sz w:val="22"/>
    </w:rPr>
  </w:style>
  <w:style w:type="paragraph" w:customStyle="1" w:styleId="TableHeadingWhite">
    <w:name w:val="Table Heading White"/>
    <w:basedOn w:val="TableTextDark"/>
    <w:qFormat/>
    <w:rsid w:val="00C506D2"/>
    <w:rPr>
      <w:color w:val="FFFFFF"/>
    </w:rPr>
  </w:style>
  <w:style w:type="paragraph" w:customStyle="1" w:styleId="HeadingNormal">
    <w:name w:val="Heading Normal"/>
    <w:basedOn w:val="Normal"/>
    <w:qFormat/>
    <w:rsid w:val="00170991"/>
    <w:rPr>
      <w:color w:val="595959"/>
      <w:sz w:val="28"/>
      <w:szCs w:val="28"/>
    </w:rPr>
  </w:style>
  <w:style w:type="paragraph" w:customStyle="1" w:styleId="HeadingBluenormal">
    <w:name w:val="Heading Blue normal"/>
    <w:basedOn w:val="HeadingNormal"/>
    <w:qFormat/>
    <w:rsid w:val="00170991"/>
    <w:rPr>
      <w:color w:val="1960AB"/>
    </w:rPr>
  </w:style>
  <w:style w:type="paragraph" w:customStyle="1" w:styleId="HeadingPinkNormal">
    <w:name w:val="Heading Pink Normal"/>
    <w:basedOn w:val="Normal"/>
    <w:qFormat/>
    <w:rsid w:val="00170991"/>
    <w:rPr>
      <w:color w:val="A1368B"/>
      <w:sz w:val="28"/>
      <w:szCs w:val="28"/>
    </w:rPr>
  </w:style>
  <w:style w:type="paragraph" w:customStyle="1" w:styleId="HeadingGreenNormal">
    <w:name w:val="Heading Green Normal"/>
    <w:basedOn w:val="Normal"/>
    <w:qFormat/>
    <w:rsid w:val="00170991"/>
    <w:rPr>
      <w:color w:val="7CBC60"/>
      <w:sz w:val="28"/>
      <w:szCs w:val="28"/>
    </w:rPr>
  </w:style>
  <w:style w:type="paragraph" w:customStyle="1" w:styleId="TableHeading">
    <w:name w:val="Table Heading"/>
    <w:basedOn w:val="TableHeadingWhite"/>
    <w:qFormat/>
    <w:rsid w:val="00185FA2"/>
    <w:rPr>
      <w:color w:val="595959"/>
    </w:rPr>
  </w:style>
  <w:style w:type="paragraph" w:customStyle="1" w:styleId="TABLEHEADINGCAPPED">
    <w:name w:val="TABLE HEADING CAPPED"/>
    <w:basedOn w:val="TABLEHEADINGCAPPEDWHITE"/>
    <w:next w:val="HeadingCapped"/>
    <w:qFormat/>
    <w:rsid w:val="00185FA2"/>
    <w:rPr>
      <w:color w:val="595959"/>
    </w:rPr>
  </w:style>
  <w:style w:type="paragraph" w:customStyle="1" w:styleId="TABLEHEADINGCAPPEDBOLD">
    <w:name w:val="TABLE HEADING CAPPED BOLD"/>
    <w:basedOn w:val="TABLEHEADINGCAPPEDWHITE"/>
    <w:next w:val="HeadingCappedBoldandBlue"/>
    <w:qFormat/>
    <w:rsid w:val="00185FA2"/>
    <w:rPr>
      <w:b/>
      <w:color w:val="595959"/>
    </w:rPr>
  </w:style>
  <w:style w:type="paragraph" w:customStyle="1" w:styleId="TABLEHEADINGCAPPEDBOLDANDWHITE">
    <w:name w:val="TABLE HEADING CAPPED BOLD AND WHITE"/>
    <w:basedOn w:val="TABLEHEADINGCAPPEDWHITE"/>
    <w:qFormat/>
    <w:rsid w:val="00185FA2"/>
    <w:rPr>
      <w:b/>
    </w:rPr>
  </w:style>
  <w:style w:type="table" w:customStyle="1" w:styleId="LinelessTableGrey">
    <w:name w:val="Lineless Table Grey"/>
    <w:basedOn w:val="TableNormal"/>
    <w:uiPriority w:val="99"/>
    <w:rsid w:val="001D0C78"/>
    <w:tblPr/>
    <w:tblStylePr w:type="firstRow">
      <w:rPr>
        <w:color w:val="595959"/>
      </w:rPr>
      <w:tblPr/>
      <w:tcPr>
        <w:shd w:val="clear" w:color="auto" w:fill="595959"/>
      </w:tcPr>
    </w:tblStylePr>
  </w:style>
  <w:style w:type="paragraph" w:styleId="ListParagraph">
    <w:name w:val="List Paragraph"/>
    <w:basedOn w:val="Normal"/>
    <w:uiPriority w:val="34"/>
    <w:qFormat/>
    <w:rsid w:val="00FF48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character" w:styleId="CommentReference">
    <w:name w:val="annotation reference"/>
    <w:basedOn w:val="DefaultParagraphFont"/>
    <w:rsid w:val="00995F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5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5F67"/>
    <w:rPr>
      <w:color w:val="606362"/>
    </w:rPr>
  </w:style>
  <w:style w:type="paragraph" w:styleId="CommentSubject">
    <w:name w:val="annotation subject"/>
    <w:basedOn w:val="CommentText"/>
    <w:next w:val="CommentText"/>
    <w:link w:val="CommentSubjectChar"/>
    <w:rsid w:val="00995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5F67"/>
    <w:rPr>
      <w:b/>
      <w:bCs/>
      <w:color w:val="606362"/>
    </w:rPr>
  </w:style>
  <w:style w:type="paragraph" w:styleId="FootnoteText">
    <w:name w:val="footnote text"/>
    <w:basedOn w:val="Normal"/>
    <w:link w:val="FootnoteTextChar"/>
    <w:rsid w:val="002A7D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A7DF4"/>
    <w:rPr>
      <w:color w:val="606362"/>
    </w:rPr>
  </w:style>
  <w:style w:type="character" w:styleId="FootnoteReference">
    <w:name w:val="footnote reference"/>
    <w:basedOn w:val="DefaultParagraphFont"/>
    <w:rsid w:val="002A7DF4"/>
    <w:rPr>
      <w:vertAlign w:val="superscript"/>
    </w:rPr>
  </w:style>
  <w:style w:type="paragraph" w:styleId="EndnoteText">
    <w:name w:val="endnote text"/>
    <w:basedOn w:val="Normal"/>
    <w:link w:val="EndnoteTextChar"/>
    <w:rsid w:val="0046377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63775"/>
    <w:rPr>
      <w:color w:val="606362"/>
    </w:rPr>
  </w:style>
  <w:style w:type="character" w:styleId="EndnoteReference">
    <w:name w:val="endnote reference"/>
    <w:basedOn w:val="DefaultParagraphFont"/>
    <w:rsid w:val="00463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289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637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45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01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4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ED1B-B2ED-4B39-9CE0-966957B6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 Laura</dc:creator>
  <cp:lastModifiedBy>Eloise Bird</cp:lastModifiedBy>
  <cp:revision>2</cp:revision>
  <cp:lastPrinted>2017-09-19T13:02:00Z</cp:lastPrinted>
  <dcterms:created xsi:type="dcterms:W3CDTF">2017-10-04T12:34:00Z</dcterms:created>
  <dcterms:modified xsi:type="dcterms:W3CDTF">2017-10-04T12:34:00Z</dcterms:modified>
</cp:coreProperties>
</file>