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25" w:rsidRDefault="00FE3925">
      <w:pPr>
        <w:rPr>
          <w:b/>
          <w:color w:val="0070C0"/>
          <w:sz w:val="28"/>
          <w:szCs w:val="28"/>
        </w:rPr>
      </w:pPr>
      <w:r w:rsidRPr="00FE3925">
        <w:rPr>
          <w:b/>
          <w:color w:val="0070C0"/>
          <w:sz w:val="28"/>
          <w:szCs w:val="28"/>
        </w:rPr>
        <w:t xml:space="preserve">Annex A—Checklist for new Caldicott Guardians </w:t>
      </w:r>
    </w:p>
    <w:tbl>
      <w:tblPr>
        <w:tblStyle w:val="TableGrid"/>
        <w:tblW w:w="10740" w:type="dxa"/>
        <w:tblLook w:val="04A0" w:firstRow="1" w:lastRow="0" w:firstColumn="1" w:lastColumn="0" w:noHBand="0" w:noVBand="1"/>
      </w:tblPr>
      <w:tblGrid>
        <w:gridCol w:w="534"/>
        <w:gridCol w:w="8788"/>
        <w:gridCol w:w="1418"/>
      </w:tblGrid>
      <w:tr w:rsidR="00FE3925" w:rsidTr="00FE3925">
        <w:tc>
          <w:tcPr>
            <w:tcW w:w="534" w:type="dxa"/>
          </w:tcPr>
          <w:p w:rsidR="00FE3925" w:rsidRPr="00FE3925" w:rsidRDefault="00FE3925" w:rsidP="00FE3925">
            <w:pPr>
              <w:spacing w:before="100"/>
              <w:rPr>
                <w:b/>
                <w:color w:val="0070C0"/>
              </w:rPr>
            </w:pPr>
            <w:r w:rsidRPr="00FE3925">
              <w:rPr>
                <w:b/>
                <w:color w:val="0070C0"/>
              </w:rPr>
              <w:t>1</w:t>
            </w:r>
          </w:p>
        </w:tc>
        <w:tc>
          <w:tcPr>
            <w:tcW w:w="8788" w:type="dxa"/>
          </w:tcPr>
          <w:p w:rsidR="00FE3925" w:rsidRPr="00FE3925" w:rsidRDefault="00FE3925" w:rsidP="00FE3925">
            <w:pPr>
              <w:spacing w:before="100"/>
              <w:rPr>
                <w:b/>
                <w:color w:val="0070C0"/>
              </w:rPr>
            </w:pPr>
            <w:r w:rsidRPr="00FE3925">
              <w:rPr>
                <w:b/>
                <w:color w:val="0070C0"/>
              </w:rPr>
              <w:t xml:space="preserve">Have your details been added to the Caldicott Guardian Register? </w:t>
            </w:r>
          </w:p>
          <w:p w:rsidR="00FE3925" w:rsidRDefault="00FE3925" w:rsidP="00FE3925">
            <w:pPr>
              <w:spacing w:before="100"/>
            </w:pPr>
            <w:r>
              <w:t xml:space="preserve">Check the register1 and contact the NHS Digital help desk2 to update your details if necessary. </w:t>
            </w:r>
          </w:p>
          <w:p w:rsidR="00FE3925" w:rsidRDefault="00FE3925" w:rsidP="00FE3925">
            <w:pPr>
              <w:spacing w:before="100"/>
            </w:pPr>
          </w:p>
        </w:tc>
        <w:sdt>
          <w:sdtPr>
            <w:id w:val="-199710010"/>
            <w14:checkbox>
              <w14:checked w14:val="0"/>
              <w14:checkedState w14:val="2612" w14:font="MS Gothic"/>
              <w14:uncheckedState w14:val="2610" w14:font="MS Gothic"/>
            </w14:checkbox>
          </w:sdtPr>
          <w:sdtContent>
            <w:tc>
              <w:tcPr>
                <w:tcW w:w="1418" w:type="dxa"/>
              </w:tcPr>
              <w:p w:rsidR="00FE3925" w:rsidRDefault="00FE3925" w:rsidP="00FE3925">
                <w:pPr>
                  <w:spacing w:before="100"/>
                  <w:jc w:val="center"/>
                </w:pPr>
                <w:r>
                  <w:rPr>
                    <w:rFonts w:ascii="MS Gothic" w:eastAsia="MS Gothic" w:hAnsi="MS Gothic" w:hint="eastAsia"/>
                  </w:rPr>
                  <w:t>☐</w:t>
                </w:r>
              </w:p>
            </w:tc>
          </w:sdtContent>
        </w:sdt>
      </w:tr>
      <w:tr w:rsidR="00FE3925" w:rsidTr="00FE3925">
        <w:tc>
          <w:tcPr>
            <w:tcW w:w="534" w:type="dxa"/>
          </w:tcPr>
          <w:p w:rsidR="00FE3925" w:rsidRPr="00FE3925" w:rsidRDefault="00FE3925" w:rsidP="00FE3925">
            <w:pPr>
              <w:spacing w:before="100"/>
              <w:rPr>
                <w:b/>
                <w:color w:val="0070C0"/>
              </w:rPr>
            </w:pPr>
            <w:r w:rsidRPr="00FE3925">
              <w:rPr>
                <w:b/>
                <w:color w:val="0070C0"/>
              </w:rPr>
              <w:t>2</w:t>
            </w:r>
          </w:p>
        </w:tc>
        <w:tc>
          <w:tcPr>
            <w:tcW w:w="8788" w:type="dxa"/>
          </w:tcPr>
          <w:p w:rsidR="00FE3925" w:rsidRPr="00FE3925" w:rsidRDefault="00FE3925" w:rsidP="00FE3925">
            <w:pPr>
              <w:spacing w:before="100"/>
              <w:rPr>
                <w:b/>
                <w:color w:val="0070C0"/>
              </w:rPr>
            </w:pPr>
            <w:r w:rsidRPr="00FE3925">
              <w:rPr>
                <w:b/>
                <w:color w:val="0070C0"/>
              </w:rPr>
              <w:t xml:space="preserve">Are your details available on your organisation’s web site? </w:t>
            </w:r>
          </w:p>
          <w:p w:rsidR="00FE3925" w:rsidRDefault="00FE3925" w:rsidP="00FE3925">
            <w:pPr>
              <w:spacing w:before="100"/>
            </w:pPr>
            <w:r>
              <w:t xml:space="preserve">Search for “Caldicott Guardian” and check your contact details are correct. </w:t>
            </w:r>
          </w:p>
          <w:p w:rsidR="00FE3925" w:rsidRDefault="00FE3925" w:rsidP="00FE3925">
            <w:pPr>
              <w:spacing w:before="100"/>
            </w:pPr>
          </w:p>
        </w:tc>
        <w:sdt>
          <w:sdtPr>
            <w:id w:val="-494880641"/>
            <w14:checkbox>
              <w14:checked w14:val="0"/>
              <w14:checkedState w14:val="2612" w14:font="MS Gothic"/>
              <w14:uncheckedState w14:val="2610" w14:font="MS Gothic"/>
            </w14:checkbox>
          </w:sdtPr>
          <w:sdtContent>
            <w:tc>
              <w:tcPr>
                <w:tcW w:w="1418" w:type="dxa"/>
              </w:tcPr>
              <w:p w:rsidR="00FE3925" w:rsidRDefault="00FE3925" w:rsidP="00FE3925">
                <w:pPr>
                  <w:spacing w:before="100"/>
                  <w:jc w:val="center"/>
                </w:pPr>
                <w:r>
                  <w:rPr>
                    <w:rFonts w:ascii="MS Gothic" w:eastAsia="MS Gothic" w:hAnsi="MS Gothic" w:hint="eastAsia"/>
                  </w:rPr>
                  <w:t>☐</w:t>
                </w:r>
              </w:p>
            </w:tc>
          </w:sdtContent>
        </w:sdt>
      </w:tr>
      <w:tr w:rsidR="00FE3925" w:rsidTr="00FE3925">
        <w:tc>
          <w:tcPr>
            <w:tcW w:w="534" w:type="dxa"/>
          </w:tcPr>
          <w:p w:rsidR="00FE3925" w:rsidRPr="00FE3925" w:rsidRDefault="00FE3925" w:rsidP="00FE3925">
            <w:pPr>
              <w:spacing w:before="100"/>
              <w:rPr>
                <w:b/>
                <w:color w:val="0070C0"/>
              </w:rPr>
            </w:pPr>
            <w:r w:rsidRPr="00FE3925">
              <w:rPr>
                <w:b/>
                <w:color w:val="0070C0"/>
              </w:rPr>
              <w:t>3</w:t>
            </w:r>
          </w:p>
        </w:tc>
        <w:tc>
          <w:tcPr>
            <w:tcW w:w="8788" w:type="dxa"/>
          </w:tcPr>
          <w:p w:rsidR="00FE3925" w:rsidRPr="00FE3925" w:rsidRDefault="00FE3925" w:rsidP="00FE3925">
            <w:pPr>
              <w:spacing w:before="100"/>
              <w:rPr>
                <w:b/>
                <w:color w:val="0070C0"/>
              </w:rPr>
            </w:pPr>
            <w:r w:rsidRPr="00FE3925">
              <w:rPr>
                <w:b/>
                <w:color w:val="0070C0"/>
              </w:rPr>
              <w:t xml:space="preserve">Ensure your details are known to organisation switchboard/reception staff. </w:t>
            </w:r>
          </w:p>
          <w:p w:rsidR="00FE3925" w:rsidRDefault="00FE3925" w:rsidP="00FE3925">
            <w:pPr>
              <w:spacing w:before="100"/>
            </w:pPr>
            <w:r>
              <w:t>Ring the main switchboard and ask to be put through to the Caldicott Guardian and see what information they provide. Check this is appropriate to ensure you are made aware of these requests. If not, make the necessary changes</w:t>
            </w:r>
          </w:p>
          <w:p w:rsidR="00FE3925" w:rsidRDefault="00FE3925" w:rsidP="00FE3925">
            <w:pPr>
              <w:spacing w:before="100"/>
            </w:pPr>
          </w:p>
        </w:tc>
        <w:sdt>
          <w:sdtPr>
            <w:id w:val="1340893581"/>
            <w14:checkbox>
              <w14:checked w14:val="0"/>
              <w14:checkedState w14:val="2612" w14:font="MS Gothic"/>
              <w14:uncheckedState w14:val="2610" w14:font="MS Gothic"/>
            </w14:checkbox>
          </w:sdtPr>
          <w:sdtContent>
            <w:tc>
              <w:tcPr>
                <w:tcW w:w="1418" w:type="dxa"/>
              </w:tcPr>
              <w:p w:rsidR="00FE3925" w:rsidRDefault="00FE3925" w:rsidP="00FE3925">
                <w:pPr>
                  <w:spacing w:before="100"/>
                  <w:jc w:val="center"/>
                </w:pPr>
                <w:r>
                  <w:rPr>
                    <w:rFonts w:ascii="MS Gothic" w:eastAsia="MS Gothic" w:hAnsi="MS Gothic" w:hint="eastAsia"/>
                  </w:rPr>
                  <w:t>☐</w:t>
                </w:r>
              </w:p>
            </w:tc>
          </w:sdtContent>
        </w:sdt>
      </w:tr>
      <w:tr w:rsidR="00FE3925" w:rsidTr="00FE3925">
        <w:tc>
          <w:tcPr>
            <w:tcW w:w="534" w:type="dxa"/>
          </w:tcPr>
          <w:p w:rsidR="00FE3925" w:rsidRPr="00FE3925" w:rsidRDefault="00FE3925" w:rsidP="00FE3925">
            <w:pPr>
              <w:spacing w:before="100"/>
              <w:rPr>
                <w:b/>
                <w:color w:val="0070C0"/>
              </w:rPr>
            </w:pPr>
            <w:r w:rsidRPr="00FE3925">
              <w:rPr>
                <w:b/>
                <w:color w:val="0070C0"/>
              </w:rPr>
              <w:t>4</w:t>
            </w:r>
          </w:p>
        </w:tc>
        <w:tc>
          <w:tcPr>
            <w:tcW w:w="8788" w:type="dxa"/>
          </w:tcPr>
          <w:p w:rsidR="00FE3925" w:rsidRPr="00FE3925" w:rsidRDefault="00FE3925" w:rsidP="00FE3925">
            <w:pPr>
              <w:spacing w:before="100"/>
              <w:rPr>
                <w:b/>
                <w:color w:val="0070C0"/>
              </w:rPr>
            </w:pPr>
            <w:r w:rsidRPr="00FE3925">
              <w:rPr>
                <w:b/>
                <w:color w:val="0070C0"/>
              </w:rPr>
              <w:t>Check if there is a generic Caldicott Guardian email address</w:t>
            </w:r>
          </w:p>
          <w:p w:rsidR="00FE3925" w:rsidRDefault="00FE3925" w:rsidP="00FE3925">
            <w:pPr>
              <w:spacing w:before="100"/>
            </w:pPr>
            <w:r>
              <w:t xml:space="preserve"> How will you be able to distinguish between your day to day emails and those for your role as Caldicott Guardian? What happens if you are away from the office: will emails be monitored or passed to an appropriate person? How should Caldicott issues be addressed in your absence without a generic email? </w:t>
            </w:r>
          </w:p>
          <w:p w:rsidR="00FE3925" w:rsidRDefault="00FE3925" w:rsidP="00FE3925">
            <w:pPr>
              <w:spacing w:before="100"/>
            </w:pPr>
          </w:p>
        </w:tc>
        <w:sdt>
          <w:sdtPr>
            <w:id w:val="-1635716701"/>
            <w14:checkbox>
              <w14:checked w14:val="0"/>
              <w14:checkedState w14:val="2612" w14:font="MS Gothic"/>
              <w14:uncheckedState w14:val="2610" w14:font="MS Gothic"/>
            </w14:checkbox>
          </w:sdtPr>
          <w:sdtContent>
            <w:tc>
              <w:tcPr>
                <w:tcW w:w="1418" w:type="dxa"/>
              </w:tcPr>
              <w:p w:rsidR="00FE3925" w:rsidRDefault="00FE3925" w:rsidP="00FE3925">
                <w:pPr>
                  <w:spacing w:before="100"/>
                  <w:jc w:val="center"/>
                </w:pPr>
                <w:r>
                  <w:rPr>
                    <w:rFonts w:ascii="MS Gothic" w:eastAsia="MS Gothic" w:hAnsi="MS Gothic" w:hint="eastAsia"/>
                  </w:rPr>
                  <w:t>☐</w:t>
                </w:r>
              </w:p>
            </w:tc>
          </w:sdtContent>
        </w:sdt>
      </w:tr>
      <w:tr w:rsidR="00FE3925" w:rsidTr="00FE3925">
        <w:tc>
          <w:tcPr>
            <w:tcW w:w="534" w:type="dxa"/>
          </w:tcPr>
          <w:p w:rsidR="00FE3925" w:rsidRPr="00FE3925" w:rsidRDefault="00FE3925" w:rsidP="00FE3925">
            <w:pPr>
              <w:spacing w:before="100"/>
              <w:rPr>
                <w:b/>
                <w:color w:val="0070C0"/>
              </w:rPr>
            </w:pPr>
            <w:r w:rsidRPr="00FE3925">
              <w:rPr>
                <w:b/>
                <w:color w:val="0070C0"/>
              </w:rPr>
              <w:t>5</w:t>
            </w:r>
          </w:p>
        </w:tc>
        <w:tc>
          <w:tcPr>
            <w:tcW w:w="8788" w:type="dxa"/>
          </w:tcPr>
          <w:p w:rsidR="00FE3925" w:rsidRPr="00FE3925" w:rsidRDefault="00FE3925" w:rsidP="00FE3925">
            <w:pPr>
              <w:spacing w:before="100"/>
              <w:rPr>
                <w:b/>
              </w:rPr>
            </w:pPr>
            <w:r w:rsidRPr="00FE3925">
              <w:rPr>
                <w:b/>
                <w:color w:val="0070C0"/>
              </w:rPr>
              <w:t xml:space="preserve">Arrange a deputy to cover when you are absent </w:t>
            </w:r>
          </w:p>
          <w:p w:rsidR="00FE3925" w:rsidRDefault="00FE3925" w:rsidP="00FE3925">
            <w:pPr>
              <w:spacing w:before="100"/>
            </w:pPr>
            <w:r>
              <w:t>Who will this be? If it is an IG lead are they sufficiently trained to understand your role and how it differs from IG? Will they have access to your Caldicott Guardian mailbox?</w:t>
            </w:r>
          </w:p>
          <w:p w:rsidR="00FE3925" w:rsidRDefault="00FE3925" w:rsidP="00FE3925">
            <w:pPr>
              <w:spacing w:before="100"/>
            </w:pPr>
          </w:p>
        </w:tc>
        <w:sdt>
          <w:sdtPr>
            <w:id w:val="1606309724"/>
            <w14:checkbox>
              <w14:checked w14:val="0"/>
              <w14:checkedState w14:val="2612" w14:font="MS Gothic"/>
              <w14:uncheckedState w14:val="2610" w14:font="MS Gothic"/>
            </w14:checkbox>
          </w:sdtPr>
          <w:sdtContent>
            <w:tc>
              <w:tcPr>
                <w:tcW w:w="1418" w:type="dxa"/>
              </w:tcPr>
              <w:p w:rsidR="00FE3925" w:rsidRDefault="00FE3925" w:rsidP="00FE3925">
                <w:pPr>
                  <w:spacing w:before="100"/>
                  <w:jc w:val="center"/>
                </w:pPr>
                <w:r>
                  <w:rPr>
                    <w:rFonts w:ascii="MS Gothic" w:eastAsia="MS Gothic" w:hAnsi="MS Gothic" w:hint="eastAsia"/>
                  </w:rPr>
                  <w:t>☐</w:t>
                </w:r>
              </w:p>
            </w:tc>
          </w:sdtContent>
        </w:sdt>
      </w:tr>
      <w:tr w:rsidR="00FE3925" w:rsidTr="00FE3925">
        <w:tc>
          <w:tcPr>
            <w:tcW w:w="534" w:type="dxa"/>
          </w:tcPr>
          <w:p w:rsidR="00FE3925" w:rsidRPr="00FE3925" w:rsidRDefault="00FE3925" w:rsidP="00FE3925">
            <w:pPr>
              <w:spacing w:before="100"/>
              <w:rPr>
                <w:b/>
                <w:color w:val="0070C0"/>
              </w:rPr>
            </w:pPr>
            <w:r w:rsidRPr="00FE3925">
              <w:rPr>
                <w:b/>
                <w:color w:val="0070C0"/>
              </w:rPr>
              <w:t>6</w:t>
            </w:r>
          </w:p>
        </w:tc>
        <w:tc>
          <w:tcPr>
            <w:tcW w:w="8788" w:type="dxa"/>
          </w:tcPr>
          <w:p w:rsidR="00FE3925" w:rsidRPr="00FE3925" w:rsidRDefault="00FE3925" w:rsidP="00FE3925">
            <w:pPr>
              <w:spacing w:before="100"/>
              <w:rPr>
                <w:color w:val="0070C0"/>
              </w:rPr>
            </w:pPr>
            <w:r w:rsidRPr="00FE3925">
              <w:rPr>
                <w:b/>
                <w:color w:val="0070C0"/>
              </w:rPr>
              <w:t>Arrange a meeting or meetings with the SIRO and IG leads</w:t>
            </w:r>
            <w:r w:rsidRPr="00FE3925">
              <w:rPr>
                <w:color w:val="0070C0"/>
              </w:rPr>
              <w:t xml:space="preserve"> </w:t>
            </w:r>
          </w:p>
          <w:p w:rsidR="00FE3925" w:rsidRDefault="00FE3925" w:rsidP="00FE3925">
            <w:pPr>
              <w:spacing w:before="100"/>
            </w:pPr>
            <w:r>
              <w:t xml:space="preserve">Use the meetings to gauge the organisation’s IG maturity and discuss how you can work together; what support you can offer each other; and your respective roles, responsibilities and expectations. </w:t>
            </w:r>
          </w:p>
          <w:p w:rsidR="00FE3925" w:rsidRDefault="00FE3925" w:rsidP="00FE3925">
            <w:pPr>
              <w:spacing w:before="100"/>
            </w:pPr>
          </w:p>
        </w:tc>
        <w:sdt>
          <w:sdtPr>
            <w:id w:val="-903225516"/>
            <w14:checkbox>
              <w14:checked w14:val="0"/>
              <w14:checkedState w14:val="2612" w14:font="MS Gothic"/>
              <w14:uncheckedState w14:val="2610" w14:font="MS Gothic"/>
            </w14:checkbox>
          </w:sdtPr>
          <w:sdtContent>
            <w:tc>
              <w:tcPr>
                <w:tcW w:w="1418" w:type="dxa"/>
              </w:tcPr>
              <w:p w:rsidR="00FE3925" w:rsidRDefault="00FE3925" w:rsidP="00FE3925">
                <w:pPr>
                  <w:spacing w:before="100"/>
                  <w:jc w:val="center"/>
                </w:pPr>
                <w:r>
                  <w:rPr>
                    <w:rFonts w:ascii="MS Gothic" w:eastAsia="MS Gothic" w:hAnsi="MS Gothic" w:hint="eastAsia"/>
                  </w:rPr>
                  <w:t>☐</w:t>
                </w:r>
              </w:p>
            </w:tc>
          </w:sdtContent>
        </w:sdt>
      </w:tr>
      <w:tr w:rsidR="00FE3925" w:rsidTr="00FE3925">
        <w:tc>
          <w:tcPr>
            <w:tcW w:w="534" w:type="dxa"/>
          </w:tcPr>
          <w:p w:rsidR="00FE3925" w:rsidRPr="00FE3925" w:rsidRDefault="00FE3925" w:rsidP="00FE3925">
            <w:pPr>
              <w:spacing w:before="100"/>
              <w:rPr>
                <w:b/>
                <w:color w:val="0070C0"/>
              </w:rPr>
            </w:pPr>
            <w:r w:rsidRPr="00FE3925">
              <w:rPr>
                <w:b/>
                <w:color w:val="0070C0"/>
              </w:rPr>
              <w:t>7</w:t>
            </w:r>
          </w:p>
        </w:tc>
        <w:tc>
          <w:tcPr>
            <w:tcW w:w="8788" w:type="dxa"/>
          </w:tcPr>
          <w:p w:rsidR="00FE3925" w:rsidRPr="00FE3925" w:rsidRDefault="00FE3925" w:rsidP="00FE3925">
            <w:pPr>
              <w:spacing w:before="100"/>
              <w:rPr>
                <w:color w:val="0070C0"/>
              </w:rPr>
            </w:pPr>
            <w:r w:rsidRPr="00FE3925">
              <w:rPr>
                <w:b/>
                <w:color w:val="0070C0"/>
              </w:rPr>
              <w:t>Information sharing</w:t>
            </w:r>
            <w:r w:rsidRPr="00FE3925">
              <w:rPr>
                <w:color w:val="0070C0"/>
              </w:rPr>
              <w:t xml:space="preserve"> </w:t>
            </w:r>
          </w:p>
          <w:p w:rsidR="00FE3925" w:rsidRDefault="00FE3925" w:rsidP="00FE3925">
            <w:pPr>
              <w:spacing w:before="100"/>
            </w:pPr>
            <w:r>
              <w:t xml:space="preserve">Find out what information sharing agreements (ISAs) and protocols (ISPs) your organisation has, and their reporting/monitoring arrangements. What is the process for approval, and your role involved in approving future agreements? Who checks the organisation is adhering to the agreed protocols? Who are the information asset owners? Are they aware of your role and the need to consult you before sharing information? </w:t>
            </w:r>
          </w:p>
          <w:p w:rsidR="00FE3925" w:rsidRDefault="00FE3925" w:rsidP="00FE3925">
            <w:pPr>
              <w:spacing w:before="100"/>
            </w:pPr>
          </w:p>
        </w:tc>
        <w:sdt>
          <w:sdtPr>
            <w:id w:val="100929777"/>
            <w14:checkbox>
              <w14:checked w14:val="0"/>
              <w14:checkedState w14:val="2612" w14:font="MS Gothic"/>
              <w14:uncheckedState w14:val="2610" w14:font="MS Gothic"/>
            </w14:checkbox>
          </w:sdtPr>
          <w:sdtContent>
            <w:tc>
              <w:tcPr>
                <w:tcW w:w="1418" w:type="dxa"/>
              </w:tcPr>
              <w:p w:rsidR="00FE3925" w:rsidRDefault="00FE3925" w:rsidP="00FE3925">
                <w:pPr>
                  <w:spacing w:before="100"/>
                  <w:jc w:val="center"/>
                </w:pPr>
                <w:r>
                  <w:rPr>
                    <w:rFonts w:ascii="MS Gothic" w:eastAsia="MS Gothic" w:hAnsi="MS Gothic" w:hint="eastAsia"/>
                  </w:rPr>
                  <w:t>☐</w:t>
                </w:r>
              </w:p>
            </w:tc>
          </w:sdtContent>
        </w:sdt>
      </w:tr>
      <w:tr w:rsidR="00FE3925" w:rsidTr="00FE3925">
        <w:tc>
          <w:tcPr>
            <w:tcW w:w="534" w:type="dxa"/>
          </w:tcPr>
          <w:p w:rsidR="00FE3925" w:rsidRPr="00FE3925" w:rsidRDefault="00FE3925" w:rsidP="00FE3925">
            <w:pPr>
              <w:spacing w:before="100"/>
              <w:rPr>
                <w:b/>
                <w:color w:val="0070C0"/>
              </w:rPr>
            </w:pPr>
            <w:r w:rsidRPr="00FE3925">
              <w:rPr>
                <w:b/>
                <w:color w:val="0070C0"/>
              </w:rPr>
              <w:t>8</w:t>
            </w:r>
          </w:p>
        </w:tc>
        <w:tc>
          <w:tcPr>
            <w:tcW w:w="8788" w:type="dxa"/>
          </w:tcPr>
          <w:p w:rsidR="00FE3925" w:rsidRPr="00FE3925" w:rsidRDefault="00FE3925" w:rsidP="00FE3925">
            <w:pPr>
              <w:spacing w:before="100"/>
              <w:rPr>
                <w:color w:val="0070C0"/>
              </w:rPr>
            </w:pPr>
            <w:r w:rsidRPr="00FE3925">
              <w:rPr>
                <w:b/>
                <w:color w:val="0070C0"/>
              </w:rPr>
              <w:t>Find out how Caldicott decisions are recorded</w:t>
            </w:r>
          </w:p>
          <w:p w:rsidR="00FE3925" w:rsidRDefault="00FE3925" w:rsidP="00FE3925">
            <w:pPr>
              <w:spacing w:before="100"/>
            </w:pPr>
            <w:r>
              <w:t xml:space="preserve">See previous sections on evidence for appraisal, a way of monitoring and evidencing your role and impact is through a decision log. </w:t>
            </w:r>
          </w:p>
          <w:p w:rsidR="00FE3925" w:rsidRDefault="00FE3925" w:rsidP="00FE3925">
            <w:pPr>
              <w:spacing w:before="100"/>
            </w:pPr>
            <w:bookmarkStart w:id="0" w:name="_GoBack"/>
            <w:bookmarkEnd w:id="0"/>
          </w:p>
        </w:tc>
        <w:sdt>
          <w:sdtPr>
            <w:id w:val="1172680235"/>
            <w14:checkbox>
              <w14:checked w14:val="0"/>
              <w14:checkedState w14:val="2612" w14:font="MS Gothic"/>
              <w14:uncheckedState w14:val="2610" w14:font="MS Gothic"/>
            </w14:checkbox>
          </w:sdtPr>
          <w:sdtContent>
            <w:tc>
              <w:tcPr>
                <w:tcW w:w="1418" w:type="dxa"/>
              </w:tcPr>
              <w:p w:rsidR="00FE3925" w:rsidRDefault="00FE3925" w:rsidP="00FE3925">
                <w:pPr>
                  <w:spacing w:before="100"/>
                  <w:jc w:val="center"/>
                </w:pPr>
                <w:r>
                  <w:rPr>
                    <w:rFonts w:ascii="MS Gothic" w:eastAsia="MS Gothic" w:hAnsi="MS Gothic" w:hint="eastAsia"/>
                  </w:rPr>
                  <w:t>☐</w:t>
                </w:r>
              </w:p>
            </w:tc>
          </w:sdtContent>
        </w:sdt>
      </w:tr>
    </w:tbl>
    <w:p w:rsidR="00FE3925" w:rsidRDefault="00FE3925"/>
    <w:p w:rsidR="00FE3925" w:rsidRDefault="00FE3925">
      <w:r>
        <w:br w:type="page"/>
      </w:r>
    </w:p>
    <w:p w:rsidR="00FE3925" w:rsidRPr="007919ED" w:rsidRDefault="00FE3925">
      <w:pPr>
        <w:rPr>
          <w:sz w:val="28"/>
          <w:szCs w:val="28"/>
        </w:rPr>
      </w:pPr>
    </w:p>
    <w:tbl>
      <w:tblPr>
        <w:tblStyle w:val="TableGrid"/>
        <w:tblW w:w="10740" w:type="dxa"/>
        <w:tblLook w:val="04A0" w:firstRow="1" w:lastRow="0" w:firstColumn="1" w:lastColumn="0" w:noHBand="0" w:noVBand="1"/>
      </w:tblPr>
      <w:tblGrid>
        <w:gridCol w:w="534"/>
        <w:gridCol w:w="8788"/>
        <w:gridCol w:w="1418"/>
      </w:tblGrid>
      <w:tr w:rsidR="007919ED" w:rsidTr="00876628">
        <w:tc>
          <w:tcPr>
            <w:tcW w:w="534" w:type="dxa"/>
          </w:tcPr>
          <w:p w:rsidR="007919ED" w:rsidRPr="00FE3925" w:rsidRDefault="007919ED" w:rsidP="00876628">
            <w:pPr>
              <w:spacing w:before="100"/>
              <w:rPr>
                <w:b/>
                <w:color w:val="0070C0"/>
              </w:rPr>
            </w:pPr>
            <w:r w:rsidRPr="00FE3925">
              <w:rPr>
                <w:b/>
                <w:color w:val="0070C0"/>
              </w:rPr>
              <w:t>9</w:t>
            </w:r>
          </w:p>
        </w:tc>
        <w:tc>
          <w:tcPr>
            <w:tcW w:w="8788" w:type="dxa"/>
          </w:tcPr>
          <w:p w:rsidR="007919ED" w:rsidRPr="00FE3925" w:rsidRDefault="007919ED" w:rsidP="00876628">
            <w:pPr>
              <w:spacing w:before="100"/>
              <w:rPr>
                <w:color w:val="0070C0"/>
              </w:rPr>
            </w:pPr>
            <w:r w:rsidRPr="00FE3925">
              <w:rPr>
                <w:b/>
                <w:color w:val="0070C0"/>
              </w:rPr>
              <w:t>Establish your accountability and reporting arrangements</w:t>
            </w:r>
          </w:p>
          <w:p w:rsidR="007919ED" w:rsidRDefault="007919ED" w:rsidP="00876628">
            <w:pPr>
              <w:spacing w:before="100"/>
            </w:pPr>
            <w:r>
              <w:t>Who will you report to and what information are you expected to provide? What are the reporting arrangements for information governance generally — for example to the Board? and to whom e.g. input into a quarterly SIRO report at Board level? Many organisations will have an information governance committee or equivalent. Make sure that you are a member of this and your membership</w:t>
            </w:r>
          </w:p>
          <w:p w:rsidR="007919ED" w:rsidRDefault="007919ED" w:rsidP="00876628">
            <w:pPr>
              <w:spacing w:before="100"/>
            </w:pPr>
          </w:p>
        </w:tc>
        <w:sdt>
          <w:sdtPr>
            <w:id w:val="452146688"/>
            <w14:checkbox>
              <w14:checked w14:val="0"/>
              <w14:checkedState w14:val="2612" w14:font="MS Gothic"/>
              <w14:uncheckedState w14:val="2610" w14:font="MS Gothic"/>
            </w14:checkbox>
          </w:sdtPr>
          <w:sdtContent>
            <w:tc>
              <w:tcPr>
                <w:tcW w:w="1418" w:type="dxa"/>
              </w:tcPr>
              <w:p w:rsidR="007919ED" w:rsidRDefault="007919ED" w:rsidP="00876628">
                <w:pPr>
                  <w:spacing w:before="100"/>
                  <w:jc w:val="center"/>
                </w:pPr>
                <w:r>
                  <w:rPr>
                    <w:rFonts w:ascii="MS Gothic" w:eastAsia="MS Gothic" w:hAnsi="MS Gothic" w:hint="eastAsia"/>
                  </w:rPr>
                  <w:t>☐</w:t>
                </w:r>
              </w:p>
            </w:tc>
          </w:sdtContent>
        </w:sdt>
      </w:tr>
      <w:tr w:rsidR="007919ED" w:rsidTr="00876628">
        <w:tc>
          <w:tcPr>
            <w:tcW w:w="534" w:type="dxa"/>
          </w:tcPr>
          <w:p w:rsidR="007919ED" w:rsidRPr="00FE3925" w:rsidRDefault="007919ED" w:rsidP="00876628">
            <w:pPr>
              <w:spacing w:before="100"/>
              <w:rPr>
                <w:b/>
                <w:color w:val="0070C0"/>
              </w:rPr>
            </w:pPr>
            <w:r w:rsidRPr="00FE3925">
              <w:rPr>
                <w:b/>
                <w:color w:val="0070C0"/>
              </w:rPr>
              <w:t>10</w:t>
            </w:r>
          </w:p>
        </w:tc>
        <w:tc>
          <w:tcPr>
            <w:tcW w:w="8788" w:type="dxa"/>
          </w:tcPr>
          <w:p w:rsidR="007919ED" w:rsidRDefault="007919ED" w:rsidP="00876628">
            <w:pPr>
              <w:spacing w:before="100"/>
            </w:pPr>
            <w:r w:rsidRPr="00FE3925">
              <w:rPr>
                <w:b/>
                <w:color w:val="0070C0"/>
              </w:rPr>
              <w:t>Establish your profile</w:t>
            </w:r>
            <w:r w:rsidRPr="00FE3925">
              <w:rPr>
                <w:color w:val="0070C0"/>
              </w:rPr>
              <w:t xml:space="preserve"> </w:t>
            </w:r>
          </w:p>
          <w:p w:rsidR="007919ED" w:rsidRDefault="007919ED" w:rsidP="00876628">
            <w:pPr>
              <w:spacing w:before="100"/>
            </w:pPr>
            <w:r>
              <w:t xml:space="preserve">Is there a mention of the Caldicott Guardian role as part of staff induction? Is the role mentioned in the generic data protection training? Plan time out to promote your role with key staff who may need to contact you. </w:t>
            </w:r>
          </w:p>
          <w:p w:rsidR="007919ED" w:rsidRDefault="007919ED" w:rsidP="00876628">
            <w:pPr>
              <w:spacing w:before="100"/>
            </w:pPr>
          </w:p>
        </w:tc>
        <w:sdt>
          <w:sdtPr>
            <w:id w:val="-577437394"/>
            <w14:checkbox>
              <w14:checked w14:val="0"/>
              <w14:checkedState w14:val="2612" w14:font="MS Gothic"/>
              <w14:uncheckedState w14:val="2610" w14:font="MS Gothic"/>
            </w14:checkbox>
          </w:sdtPr>
          <w:sdtContent>
            <w:tc>
              <w:tcPr>
                <w:tcW w:w="1418" w:type="dxa"/>
              </w:tcPr>
              <w:p w:rsidR="007919ED" w:rsidRDefault="007919ED" w:rsidP="00876628">
                <w:pPr>
                  <w:spacing w:before="100"/>
                  <w:jc w:val="center"/>
                </w:pPr>
                <w:r>
                  <w:rPr>
                    <w:rFonts w:ascii="MS Gothic" w:eastAsia="MS Gothic" w:hAnsi="MS Gothic" w:hint="eastAsia"/>
                  </w:rPr>
                  <w:t>☐</w:t>
                </w:r>
              </w:p>
            </w:tc>
          </w:sdtContent>
        </w:sdt>
      </w:tr>
      <w:tr w:rsidR="007919ED" w:rsidTr="00876628">
        <w:tc>
          <w:tcPr>
            <w:tcW w:w="534" w:type="dxa"/>
          </w:tcPr>
          <w:p w:rsidR="007919ED" w:rsidRPr="00FE3925" w:rsidRDefault="007919ED" w:rsidP="00876628">
            <w:pPr>
              <w:spacing w:before="100"/>
              <w:rPr>
                <w:b/>
                <w:color w:val="0070C0"/>
              </w:rPr>
            </w:pPr>
            <w:r w:rsidRPr="00FE3925">
              <w:rPr>
                <w:b/>
                <w:color w:val="0070C0"/>
              </w:rPr>
              <w:t>11</w:t>
            </w:r>
          </w:p>
        </w:tc>
        <w:tc>
          <w:tcPr>
            <w:tcW w:w="8788" w:type="dxa"/>
          </w:tcPr>
          <w:p w:rsidR="007919ED" w:rsidRPr="00FE3925" w:rsidRDefault="007919ED" w:rsidP="00876628">
            <w:pPr>
              <w:spacing w:before="100"/>
              <w:rPr>
                <w:b/>
                <w:color w:val="0070C0"/>
              </w:rPr>
            </w:pPr>
            <w:r w:rsidRPr="00FE3925">
              <w:rPr>
                <w:b/>
                <w:color w:val="0070C0"/>
              </w:rPr>
              <w:t xml:space="preserve">Consider what support is available to you </w:t>
            </w:r>
          </w:p>
          <w:p w:rsidR="007919ED" w:rsidRDefault="007919ED" w:rsidP="00876628">
            <w:pPr>
              <w:spacing w:before="100"/>
            </w:pPr>
            <w:r>
              <w:t xml:space="preserve">Is there a local or regional network you can join?  What events and support are available to you? Sign up to appropriate newsletters e.g. IGA, ICO. Identify peers and perhaps a mentor or coach. See also Annex B: Where to find help and guidance. </w:t>
            </w:r>
          </w:p>
          <w:p w:rsidR="007919ED" w:rsidRDefault="007919ED" w:rsidP="00876628">
            <w:pPr>
              <w:spacing w:before="100"/>
            </w:pPr>
          </w:p>
        </w:tc>
        <w:sdt>
          <w:sdtPr>
            <w:id w:val="2118098694"/>
            <w14:checkbox>
              <w14:checked w14:val="0"/>
              <w14:checkedState w14:val="2612" w14:font="MS Gothic"/>
              <w14:uncheckedState w14:val="2610" w14:font="MS Gothic"/>
            </w14:checkbox>
          </w:sdtPr>
          <w:sdtContent>
            <w:tc>
              <w:tcPr>
                <w:tcW w:w="1418" w:type="dxa"/>
              </w:tcPr>
              <w:p w:rsidR="007919ED" w:rsidRDefault="007919ED" w:rsidP="00876628">
                <w:pPr>
                  <w:spacing w:before="100"/>
                  <w:jc w:val="center"/>
                </w:pPr>
                <w:r>
                  <w:rPr>
                    <w:rFonts w:ascii="MS Gothic" w:eastAsia="MS Gothic" w:hAnsi="MS Gothic" w:hint="eastAsia"/>
                  </w:rPr>
                  <w:t>☐</w:t>
                </w:r>
              </w:p>
            </w:tc>
          </w:sdtContent>
        </w:sdt>
      </w:tr>
      <w:tr w:rsidR="007919ED" w:rsidTr="00876628">
        <w:tc>
          <w:tcPr>
            <w:tcW w:w="534" w:type="dxa"/>
          </w:tcPr>
          <w:p w:rsidR="007919ED" w:rsidRPr="00FE3925" w:rsidRDefault="007919ED" w:rsidP="00876628">
            <w:pPr>
              <w:spacing w:before="100"/>
              <w:rPr>
                <w:b/>
                <w:color w:val="0070C0"/>
              </w:rPr>
            </w:pPr>
            <w:r w:rsidRPr="00FE3925">
              <w:rPr>
                <w:b/>
                <w:color w:val="0070C0"/>
              </w:rPr>
              <w:t>12</w:t>
            </w:r>
          </w:p>
        </w:tc>
        <w:tc>
          <w:tcPr>
            <w:tcW w:w="8788" w:type="dxa"/>
          </w:tcPr>
          <w:p w:rsidR="007919ED" w:rsidRDefault="007919ED" w:rsidP="00876628">
            <w:pPr>
              <w:spacing w:before="100"/>
            </w:pPr>
            <w:r w:rsidRPr="00FE3925">
              <w:rPr>
                <w:b/>
                <w:color w:val="0070C0"/>
              </w:rPr>
              <w:t>Understand your IG Toolkit responsibilities</w:t>
            </w:r>
            <w:r w:rsidRPr="00FE3925">
              <w:rPr>
                <w:color w:val="0070C0"/>
              </w:rPr>
              <w:t xml:space="preserve"> </w:t>
            </w:r>
          </w:p>
          <w:p w:rsidR="007919ED" w:rsidRDefault="007919ED" w:rsidP="00876628">
            <w:pPr>
              <w:spacing w:before="100"/>
            </w:pPr>
            <w:r>
              <w:t xml:space="preserve">Do you know what you will be expected to sign off annually?  Build time in your diary to ensure these tasks are completed before the deadline. </w:t>
            </w:r>
          </w:p>
          <w:p w:rsidR="007919ED" w:rsidRDefault="007919ED" w:rsidP="00876628">
            <w:pPr>
              <w:spacing w:before="100"/>
            </w:pPr>
          </w:p>
        </w:tc>
        <w:sdt>
          <w:sdtPr>
            <w:id w:val="262186927"/>
            <w14:checkbox>
              <w14:checked w14:val="0"/>
              <w14:checkedState w14:val="2612" w14:font="MS Gothic"/>
              <w14:uncheckedState w14:val="2610" w14:font="MS Gothic"/>
            </w14:checkbox>
          </w:sdtPr>
          <w:sdtContent>
            <w:tc>
              <w:tcPr>
                <w:tcW w:w="1418" w:type="dxa"/>
              </w:tcPr>
              <w:p w:rsidR="007919ED" w:rsidRDefault="007919ED" w:rsidP="00876628">
                <w:pPr>
                  <w:spacing w:before="100"/>
                  <w:jc w:val="center"/>
                </w:pPr>
                <w:r>
                  <w:rPr>
                    <w:rFonts w:ascii="MS Gothic" w:eastAsia="MS Gothic" w:hAnsi="MS Gothic" w:hint="eastAsia"/>
                  </w:rPr>
                  <w:t>☐</w:t>
                </w:r>
              </w:p>
            </w:tc>
          </w:sdtContent>
        </w:sdt>
      </w:tr>
      <w:tr w:rsidR="007919ED" w:rsidTr="00876628">
        <w:tc>
          <w:tcPr>
            <w:tcW w:w="534" w:type="dxa"/>
          </w:tcPr>
          <w:p w:rsidR="007919ED" w:rsidRPr="00FE3925" w:rsidRDefault="007919ED" w:rsidP="00876628">
            <w:pPr>
              <w:spacing w:before="100"/>
              <w:rPr>
                <w:b/>
                <w:color w:val="0070C0"/>
              </w:rPr>
            </w:pPr>
            <w:r w:rsidRPr="00FE3925">
              <w:rPr>
                <w:b/>
                <w:color w:val="0070C0"/>
              </w:rPr>
              <w:t>13</w:t>
            </w:r>
          </w:p>
        </w:tc>
        <w:tc>
          <w:tcPr>
            <w:tcW w:w="8788" w:type="dxa"/>
          </w:tcPr>
          <w:p w:rsidR="007919ED" w:rsidRPr="00FE3925" w:rsidRDefault="007919ED" w:rsidP="00876628">
            <w:pPr>
              <w:spacing w:before="100"/>
              <w:rPr>
                <w:color w:val="0070C0"/>
              </w:rPr>
            </w:pPr>
            <w:r w:rsidRPr="00FE3925">
              <w:rPr>
                <w:b/>
                <w:color w:val="0070C0"/>
              </w:rPr>
              <w:t>Identify your training and development needs</w:t>
            </w:r>
            <w:r w:rsidRPr="00FE3925">
              <w:rPr>
                <w:color w:val="0070C0"/>
              </w:rPr>
              <w:t xml:space="preserve"> </w:t>
            </w:r>
          </w:p>
          <w:p w:rsidR="007919ED" w:rsidRDefault="007919ED" w:rsidP="00876628">
            <w:pPr>
              <w:spacing w:before="100"/>
            </w:pPr>
            <w:r>
              <w:t>Ensure you have undertaken your SWOT analysis, created your personal development plan, and booked your appraisal in good time.</w:t>
            </w:r>
          </w:p>
          <w:p w:rsidR="007919ED" w:rsidRDefault="007919ED" w:rsidP="00876628">
            <w:pPr>
              <w:spacing w:before="100"/>
            </w:pPr>
          </w:p>
        </w:tc>
        <w:sdt>
          <w:sdtPr>
            <w:id w:val="1320925510"/>
            <w14:checkbox>
              <w14:checked w14:val="0"/>
              <w14:checkedState w14:val="2612" w14:font="MS Gothic"/>
              <w14:uncheckedState w14:val="2610" w14:font="MS Gothic"/>
            </w14:checkbox>
          </w:sdtPr>
          <w:sdtContent>
            <w:tc>
              <w:tcPr>
                <w:tcW w:w="1418" w:type="dxa"/>
              </w:tcPr>
              <w:p w:rsidR="007919ED" w:rsidRDefault="007919ED" w:rsidP="00876628">
                <w:pPr>
                  <w:spacing w:before="100"/>
                  <w:jc w:val="center"/>
                </w:pPr>
                <w:r>
                  <w:rPr>
                    <w:rFonts w:ascii="MS Gothic" w:eastAsia="MS Gothic" w:hAnsi="MS Gothic" w:hint="eastAsia"/>
                  </w:rPr>
                  <w:t>☐</w:t>
                </w:r>
              </w:p>
            </w:tc>
          </w:sdtContent>
        </w:sdt>
      </w:tr>
      <w:tr w:rsidR="007919ED" w:rsidTr="00876628">
        <w:tc>
          <w:tcPr>
            <w:tcW w:w="534" w:type="dxa"/>
          </w:tcPr>
          <w:p w:rsidR="007919ED" w:rsidRPr="00FE3925" w:rsidRDefault="007919ED" w:rsidP="00876628">
            <w:pPr>
              <w:spacing w:before="100"/>
              <w:rPr>
                <w:b/>
                <w:color w:val="0070C0"/>
              </w:rPr>
            </w:pPr>
            <w:r w:rsidRPr="00FE3925">
              <w:rPr>
                <w:b/>
                <w:color w:val="0070C0"/>
              </w:rPr>
              <w:t>14</w:t>
            </w:r>
          </w:p>
        </w:tc>
        <w:tc>
          <w:tcPr>
            <w:tcW w:w="8788" w:type="dxa"/>
          </w:tcPr>
          <w:p w:rsidR="007919ED" w:rsidRPr="00FE3925" w:rsidRDefault="007919ED" w:rsidP="00876628">
            <w:pPr>
              <w:spacing w:before="100"/>
              <w:rPr>
                <w:color w:val="0070C0"/>
              </w:rPr>
            </w:pPr>
            <w:r w:rsidRPr="00FE3925">
              <w:rPr>
                <w:b/>
                <w:color w:val="0070C0"/>
              </w:rPr>
              <w:t xml:space="preserve">Understand your access to internal audit staff and their reports </w:t>
            </w:r>
          </w:p>
          <w:p w:rsidR="007919ED" w:rsidRDefault="007919ED" w:rsidP="00876628">
            <w:pPr>
              <w:spacing w:before="100"/>
            </w:pPr>
            <w:r>
              <w:t xml:space="preserve">Are you notified of any reports which have a Caldicott/IG component?  If there is a breach or near miss that requires further investigation and changes in policy/procedure to prevent similar recurrences, are you able to commission any internal audit time to address the issue? </w:t>
            </w:r>
          </w:p>
          <w:p w:rsidR="007919ED" w:rsidRDefault="007919ED" w:rsidP="00876628">
            <w:pPr>
              <w:spacing w:before="100"/>
            </w:pPr>
          </w:p>
        </w:tc>
        <w:sdt>
          <w:sdtPr>
            <w:id w:val="633838052"/>
            <w14:checkbox>
              <w14:checked w14:val="0"/>
              <w14:checkedState w14:val="2612" w14:font="MS Gothic"/>
              <w14:uncheckedState w14:val="2610" w14:font="MS Gothic"/>
            </w14:checkbox>
          </w:sdtPr>
          <w:sdtContent>
            <w:tc>
              <w:tcPr>
                <w:tcW w:w="1418" w:type="dxa"/>
              </w:tcPr>
              <w:p w:rsidR="007919ED" w:rsidRDefault="007919ED" w:rsidP="00876628">
                <w:pPr>
                  <w:spacing w:before="100"/>
                  <w:jc w:val="center"/>
                </w:pPr>
                <w:r>
                  <w:rPr>
                    <w:rFonts w:ascii="MS Gothic" w:eastAsia="MS Gothic" w:hAnsi="MS Gothic" w:hint="eastAsia"/>
                  </w:rPr>
                  <w:t>☐</w:t>
                </w:r>
              </w:p>
            </w:tc>
          </w:sdtContent>
        </w:sdt>
      </w:tr>
      <w:tr w:rsidR="007919ED" w:rsidTr="00876628">
        <w:tc>
          <w:tcPr>
            <w:tcW w:w="534" w:type="dxa"/>
          </w:tcPr>
          <w:p w:rsidR="007919ED" w:rsidRPr="00FE3925" w:rsidRDefault="007919ED" w:rsidP="00876628">
            <w:pPr>
              <w:spacing w:before="100"/>
              <w:rPr>
                <w:b/>
                <w:color w:val="0070C0"/>
              </w:rPr>
            </w:pPr>
            <w:r w:rsidRPr="00FE3925">
              <w:rPr>
                <w:b/>
                <w:color w:val="0070C0"/>
              </w:rPr>
              <w:t>15</w:t>
            </w:r>
          </w:p>
        </w:tc>
        <w:tc>
          <w:tcPr>
            <w:tcW w:w="8788" w:type="dxa"/>
          </w:tcPr>
          <w:p w:rsidR="007919ED" w:rsidRPr="00FE3925" w:rsidRDefault="007919ED" w:rsidP="00876628">
            <w:pPr>
              <w:spacing w:before="100"/>
              <w:rPr>
                <w:b/>
              </w:rPr>
            </w:pPr>
            <w:r w:rsidRPr="00FE3925">
              <w:rPr>
                <w:b/>
                <w:color w:val="0070C0"/>
              </w:rPr>
              <w:t>Check progress on your organisation’s Caldicott2 action plan</w:t>
            </w:r>
          </w:p>
          <w:p w:rsidR="007919ED" w:rsidRDefault="007919ED" w:rsidP="00876628">
            <w:pPr>
              <w:spacing w:before="100"/>
            </w:pPr>
            <w:r>
              <w:t xml:space="preserve">Find out how your organisation is progressing against the recommendations in the Caldicott2 report: Information: to share or not to share. </w:t>
            </w:r>
          </w:p>
          <w:p w:rsidR="007919ED" w:rsidRDefault="007919ED" w:rsidP="00876628">
            <w:pPr>
              <w:spacing w:before="100"/>
            </w:pPr>
          </w:p>
        </w:tc>
        <w:sdt>
          <w:sdtPr>
            <w:id w:val="560291340"/>
            <w14:checkbox>
              <w14:checked w14:val="0"/>
              <w14:checkedState w14:val="2612" w14:font="MS Gothic"/>
              <w14:uncheckedState w14:val="2610" w14:font="MS Gothic"/>
            </w14:checkbox>
          </w:sdtPr>
          <w:sdtContent>
            <w:tc>
              <w:tcPr>
                <w:tcW w:w="1418" w:type="dxa"/>
              </w:tcPr>
              <w:p w:rsidR="007919ED" w:rsidRDefault="007919ED" w:rsidP="00876628">
                <w:pPr>
                  <w:spacing w:before="100"/>
                  <w:jc w:val="center"/>
                </w:pPr>
                <w:r>
                  <w:rPr>
                    <w:rFonts w:ascii="MS Gothic" w:eastAsia="MS Gothic" w:hAnsi="MS Gothic" w:hint="eastAsia"/>
                  </w:rPr>
                  <w:t>☐</w:t>
                </w:r>
              </w:p>
            </w:tc>
          </w:sdtContent>
        </w:sdt>
      </w:tr>
      <w:tr w:rsidR="007919ED" w:rsidTr="00876628">
        <w:tc>
          <w:tcPr>
            <w:tcW w:w="534" w:type="dxa"/>
          </w:tcPr>
          <w:p w:rsidR="007919ED" w:rsidRPr="00FE3925" w:rsidRDefault="007919ED" w:rsidP="00876628">
            <w:pPr>
              <w:spacing w:before="100"/>
              <w:rPr>
                <w:b/>
                <w:color w:val="0070C0"/>
              </w:rPr>
            </w:pPr>
            <w:r w:rsidRPr="00FE3925">
              <w:rPr>
                <w:b/>
                <w:color w:val="0070C0"/>
              </w:rPr>
              <w:t>16</w:t>
            </w:r>
          </w:p>
        </w:tc>
        <w:tc>
          <w:tcPr>
            <w:tcW w:w="8788" w:type="dxa"/>
          </w:tcPr>
          <w:p w:rsidR="007919ED" w:rsidRPr="00FE3925" w:rsidRDefault="007919ED" w:rsidP="00876628">
            <w:pPr>
              <w:spacing w:before="100"/>
              <w:rPr>
                <w:color w:val="0070C0"/>
              </w:rPr>
            </w:pPr>
            <w:r w:rsidRPr="00FE3925">
              <w:rPr>
                <w:b/>
                <w:color w:val="0070C0"/>
              </w:rPr>
              <w:t>Compliance</w:t>
            </w:r>
            <w:r w:rsidRPr="00FE3925">
              <w:rPr>
                <w:color w:val="0070C0"/>
              </w:rPr>
              <w:t xml:space="preserve"> </w:t>
            </w:r>
          </w:p>
          <w:p w:rsidR="007919ED" w:rsidRDefault="007919ED" w:rsidP="00876628">
            <w:pPr>
              <w:spacing w:before="100"/>
            </w:pPr>
            <w:r>
              <w:t>Check your organisation’s compliance with the National Data Guardian’s Review of Data Security Consent and Opt Outs and readiness for the EU General Data Protection Regulation.</w:t>
            </w:r>
          </w:p>
          <w:p w:rsidR="007919ED" w:rsidRDefault="007919ED" w:rsidP="00876628">
            <w:pPr>
              <w:spacing w:before="100"/>
            </w:pPr>
          </w:p>
        </w:tc>
        <w:sdt>
          <w:sdtPr>
            <w:id w:val="971328549"/>
            <w14:checkbox>
              <w14:checked w14:val="0"/>
              <w14:checkedState w14:val="2612" w14:font="MS Gothic"/>
              <w14:uncheckedState w14:val="2610" w14:font="MS Gothic"/>
            </w14:checkbox>
          </w:sdtPr>
          <w:sdtContent>
            <w:tc>
              <w:tcPr>
                <w:tcW w:w="1418" w:type="dxa"/>
              </w:tcPr>
              <w:p w:rsidR="007919ED" w:rsidRDefault="007919ED" w:rsidP="00876628">
                <w:pPr>
                  <w:spacing w:before="100"/>
                  <w:jc w:val="center"/>
                </w:pPr>
                <w:r>
                  <w:rPr>
                    <w:rFonts w:ascii="MS Gothic" w:eastAsia="MS Gothic" w:hAnsi="MS Gothic" w:hint="eastAsia"/>
                  </w:rPr>
                  <w:t>☐</w:t>
                </w:r>
              </w:p>
            </w:tc>
          </w:sdtContent>
        </w:sdt>
      </w:tr>
    </w:tbl>
    <w:p w:rsidR="007919ED" w:rsidRDefault="007919ED"/>
    <w:p w:rsidR="00FE3925" w:rsidRDefault="00FE3925"/>
    <w:p w:rsidR="00FE3925" w:rsidRDefault="00FE3925"/>
    <w:sectPr w:rsidR="00FE3925" w:rsidSect="00FE392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25" w:rsidRDefault="00FE3925" w:rsidP="00FE3925">
      <w:pPr>
        <w:spacing w:after="0" w:line="240" w:lineRule="auto"/>
      </w:pPr>
      <w:r>
        <w:separator/>
      </w:r>
    </w:p>
  </w:endnote>
  <w:endnote w:type="continuationSeparator" w:id="0">
    <w:p w:rsidR="00FE3925" w:rsidRDefault="00FE3925" w:rsidP="00FE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70"/>
      <w:gridCol w:w="9626"/>
    </w:tblGrid>
    <w:tr w:rsidR="00FE3925">
      <w:tc>
        <w:tcPr>
          <w:tcW w:w="500" w:type="pct"/>
          <w:tcBorders>
            <w:top w:val="single" w:sz="4" w:space="0" w:color="943634" w:themeColor="accent2" w:themeShade="BF"/>
          </w:tcBorders>
          <w:shd w:val="clear" w:color="auto" w:fill="943634" w:themeFill="accent2" w:themeFillShade="BF"/>
        </w:tcPr>
        <w:p w:rsidR="00FE3925" w:rsidRPr="00FE3925" w:rsidRDefault="00FE3925">
          <w:pPr>
            <w:pStyle w:val="Footer"/>
            <w:jc w:val="right"/>
            <w:rPr>
              <w:b/>
              <w:bCs/>
              <w:color w:val="FFFFFF" w:themeColor="background1"/>
              <w:sz w:val="18"/>
              <w:szCs w:val="18"/>
            </w:rPr>
          </w:pPr>
          <w:r w:rsidRPr="00FE3925">
            <w:rPr>
              <w:b/>
              <w:sz w:val="18"/>
              <w:szCs w:val="18"/>
            </w:rPr>
            <w:fldChar w:fldCharType="begin"/>
          </w:r>
          <w:r w:rsidRPr="00FE3925">
            <w:rPr>
              <w:b/>
              <w:sz w:val="18"/>
              <w:szCs w:val="18"/>
            </w:rPr>
            <w:instrText xml:space="preserve"> PAGE   \* MERGEFORMAT </w:instrText>
          </w:r>
          <w:r w:rsidRPr="00FE3925">
            <w:rPr>
              <w:b/>
              <w:sz w:val="18"/>
              <w:szCs w:val="18"/>
            </w:rPr>
            <w:fldChar w:fldCharType="separate"/>
          </w:r>
          <w:r w:rsidR="007919ED" w:rsidRPr="007919ED">
            <w:rPr>
              <w:b/>
              <w:noProof/>
              <w:color w:val="FFFFFF" w:themeColor="background1"/>
              <w:sz w:val="18"/>
              <w:szCs w:val="18"/>
            </w:rPr>
            <w:t>2</w:t>
          </w:r>
          <w:r w:rsidRPr="00FE3925">
            <w:rPr>
              <w:b/>
              <w:noProof/>
              <w:color w:val="FFFFFF" w:themeColor="background1"/>
              <w:sz w:val="18"/>
              <w:szCs w:val="18"/>
            </w:rPr>
            <w:fldChar w:fldCharType="end"/>
          </w:r>
        </w:p>
      </w:tc>
      <w:tc>
        <w:tcPr>
          <w:tcW w:w="4500" w:type="pct"/>
          <w:tcBorders>
            <w:top w:val="single" w:sz="4" w:space="0" w:color="auto"/>
          </w:tcBorders>
        </w:tcPr>
        <w:p w:rsidR="00FE3925" w:rsidRPr="00FE3925" w:rsidRDefault="00FE3925" w:rsidP="00FE3925">
          <w:pPr>
            <w:pStyle w:val="Footer"/>
            <w:rPr>
              <w:b/>
              <w:sz w:val="18"/>
              <w:szCs w:val="18"/>
            </w:rPr>
          </w:pPr>
          <w:r w:rsidRPr="00FE3925">
            <w:rPr>
              <w:b/>
              <w:color w:val="A6A6A6" w:themeColor="background1" w:themeShade="A6"/>
              <w:sz w:val="18"/>
              <w:szCs w:val="18"/>
            </w:rPr>
            <w:t>Annex A – Checklist for Calidicott Guardians</w:t>
          </w:r>
        </w:p>
      </w:tc>
    </w:tr>
  </w:tbl>
  <w:p w:rsidR="00FE3925" w:rsidRDefault="00FE3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25" w:rsidRDefault="00FE3925" w:rsidP="00FE3925">
      <w:pPr>
        <w:spacing w:after="0" w:line="240" w:lineRule="auto"/>
      </w:pPr>
      <w:r>
        <w:separator/>
      </w:r>
    </w:p>
  </w:footnote>
  <w:footnote w:type="continuationSeparator" w:id="0">
    <w:p w:rsidR="00FE3925" w:rsidRDefault="00FE3925" w:rsidP="00FE3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B05"/>
    <w:multiLevelType w:val="hybridMultilevel"/>
    <w:tmpl w:val="C49AB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25"/>
    <w:rsid w:val="004B3D12"/>
    <w:rsid w:val="007919ED"/>
    <w:rsid w:val="00FE3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925"/>
    <w:pPr>
      <w:ind w:left="720"/>
      <w:contextualSpacing/>
    </w:pPr>
  </w:style>
  <w:style w:type="paragraph" w:styleId="BalloonText">
    <w:name w:val="Balloon Text"/>
    <w:basedOn w:val="Normal"/>
    <w:link w:val="BalloonTextChar"/>
    <w:uiPriority w:val="99"/>
    <w:semiHidden/>
    <w:unhideWhenUsed/>
    <w:rsid w:val="00FE3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925"/>
    <w:rPr>
      <w:rFonts w:ascii="Tahoma" w:hAnsi="Tahoma" w:cs="Tahoma"/>
      <w:sz w:val="16"/>
      <w:szCs w:val="16"/>
    </w:rPr>
  </w:style>
  <w:style w:type="paragraph" w:styleId="Header">
    <w:name w:val="header"/>
    <w:basedOn w:val="Normal"/>
    <w:link w:val="HeaderChar"/>
    <w:uiPriority w:val="99"/>
    <w:unhideWhenUsed/>
    <w:rsid w:val="00FE3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925"/>
  </w:style>
  <w:style w:type="paragraph" w:styleId="Footer">
    <w:name w:val="footer"/>
    <w:basedOn w:val="Normal"/>
    <w:link w:val="FooterChar"/>
    <w:uiPriority w:val="99"/>
    <w:unhideWhenUsed/>
    <w:rsid w:val="00FE3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925"/>
    <w:pPr>
      <w:ind w:left="720"/>
      <w:contextualSpacing/>
    </w:pPr>
  </w:style>
  <w:style w:type="paragraph" w:styleId="BalloonText">
    <w:name w:val="Balloon Text"/>
    <w:basedOn w:val="Normal"/>
    <w:link w:val="BalloonTextChar"/>
    <w:uiPriority w:val="99"/>
    <w:semiHidden/>
    <w:unhideWhenUsed/>
    <w:rsid w:val="00FE3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925"/>
    <w:rPr>
      <w:rFonts w:ascii="Tahoma" w:hAnsi="Tahoma" w:cs="Tahoma"/>
      <w:sz w:val="16"/>
      <w:szCs w:val="16"/>
    </w:rPr>
  </w:style>
  <w:style w:type="paragraph" w:styleId="Header">
    <w:name w:val="header"/>
    <w:basedOn w:val="Normal"/>
    <w:link w:val="HeaderChar"/>
    <w:uiPriority w:val="99"/>
    <w:unhideWhenUsed/>
    <w:rsid w:val="00FE3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925"/>
  </w:style>
  <w:style w:type="paragraph" w:styleId="Footer">
    <w:name w:val="footer"/>
    <w:basedOn w:val="Normal"/>
    <w:link w:val="FooterChar"/>
    <w:uiPriority w:val="99"/>
    <w:unhideWhenUsed/>
    <w:rsid w:val="00FE3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31"/>
    <w:rsid w:val="007A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820DB2909043569F5522D11BD865BE">
    <w:name w:val="F4820DB2909043569F5522D11BD865BE"/>
    <w:rsid w:val="007A37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820DB2909043569F5522D11BD865BE">
    <w:name w:val="F4820DB2909043569F5522D11BD865BE"/>
    <w:rsid w:val="007A3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Todd</dc:creator>
  <cp:lastModifiedBy>Davidson Todd</cp:lastModifiedBy>
  <cp:revision>1</cp:revision>
  <dcterms:created xsi:type="dcterms:W3CDTF">2017-07-27T09:57:00Z</dcterms:created>
  <dcterms:modified xsi:type="dcterms:W3CDTF">2017-07-27T10:15:00Z</dcterms:modified>
</cp:coreProperties>
</file>