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ook w:val="04A0" w:firstRow="1" w:lastRow="0" w:firstColumn="1" w:lastColumn="0" w:noHBand="0" w:noVBand="1"/>
      </w:tblPr>
      <w:tblGrid>
        <w:gridCol w:w="3794"/>
        <w:gridCol w:w="5670"/>
      </w:tblGrid>
      <w:tr w:rsidR="003011EC" w:rsidRPr="003011EC" w:rsidTr="00921790">
        <w:trPr>
          <w:trHeight w:val="524"/>
        </w:trPr>
        <w:tc>
          <w:tcPr>
            <w:tcW w:w="9464" w:type="dxa"/>
            <w:gridSpan w:val="2"/>
            <w:shd w:val="clear" w:color="auto" w:fill="DBE5F1" w:themeFill="accent1" w:themeFillTint="33"/>
          </w:tcPr>
          <w:p w:rsidR="003011EC" w:rsidRPr="007E4544" w:rsidRDefault="003011EC" w:rsidP="007E4544">
            <w:pPr>
              <w:jc w:val="center"/>
              <w:rPr>
                <w:rFonts w:ascii="Arial" w:hAnsi="Arial" w:cs="Arial"/>
                <w:b/>
                <w:color w:val="FF0000"/>
                <w:sz w:val="24"/>
                <w:szCs w:val="24"/>
                <w:u w:val="single"/>
              </w:rPr>
            </w:pPr>
            <w:r w:rsidRPr="007E4544">
              <w:rPr>
                <w:rFonts w:ascii="Arial" w:hAnsi="Arial" w:cs="Arial"/>
                <w:b/>
                <w:sz w:val="24"/>
                <w:szCs w:val="24"/>
                <w:u w:val="single"/>
              </w:rPr>
              <w:t xml:space="preserve">Equality Analysis </w:t>
            </w:r>
          </w:p>
        </w:tc>
      </w:tr>
      <w:tr w:rsidR="003011EC" w:rsidRPr="003011EC" w:rsidTr="00921790">
        <w:trPr>
          <w:trHeight w:val="545"/>
        </w:trPr>
        <w:tc>
          <w:tcPr>
            <w:tcW w:w="3794"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Policy / Project / Function: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5670" w:type="dxa"/>
          </w:tcPr>
          <w:p w:rsidR="003011EC" w:rsidRPr="003011EC" w:rsidRDefault="00C93CDA" w:rsidP="008C6BA4">
            <w:pPr>
              <w:rPr>
                <w:rFonts w:ascii="Arial" w:hAnsi="Arial" w:cs="Arial"/>
                <w:sz w:val="24"/>
                <w:szCs w:val="24"/>
              </w:rPr>
            </w:pPr>
            <w:r>
              <w:rPr>
                <w:rFonts w:ascii="Arial" w:hAnsi="Arial" w:cs="Arial"/>
                <w:sz w:val="24"/>
                <w:szCs w:val="24"/>
              </w:rPr>
              <w:t>Oxford Headache Pathway</w:t>
            </w:r>
          </w:p>
        </w:tc>
      </w:tr>
      <w:tr w:rsidR="007E4544" w:rsidRPr="003011EC" w:rsidTr="00921790">
        <w:trPr>
          <w:trHeight w:val="545"/>
        </w:trPr>
        <w:tc>
          <w:tcPr>
            <w:tcW w:w="3794" w:type="dxa"/>
            <w:shd w:val="pct12" w:color="auto" w:fill="auto"/>
          </w:tcPr>
          <w:p w:rsidR="007E4544" w:rsidRPr="003011EC" w:rsidRDefault="007E4544" w:rsidP="008C6BA4">
            <w:pPr>
              <w:rPr>
                <w:rFonts w:ascii="Arial" w:hAnsi="Arial" w:cs="Arial"/>
                <w:b/>
                <w:sz w:val="24"/>
                <w:szCs w:val="24"/>
              </w:rPr>
            </w:pPr>
            <w:r>
              <w:rPr>
                <w:rFonts w:ascii="Arial" w:hAnsi="Arial" w:cs="Arial"/>
                <w:b/>
                <w:sz w:val="24"/>
                <w:szCs w:val="24"/>
              </w:rPr>
              <w:t>PMO Reference Number</w:t>
            </w:r>
          </w:p>
        </w:tc>
        <w:tc>
          <w:tcPr>
            <w:tcW w:w="5670" w:type="dxa"/>
          </w:tcPr>
          <w:p w:rsidR="007E4544" w:rsidRPr="003011EC" w:rsidRDefault="009D43A4" w:rsidP="008C6BA4">
            <w:pPr>
              <w:rPr>
                <w:rFonts w:ascii="Arial" w:hAnsi="Arial" w:cs="Arial"/>
                <w:sz w:val="24"/>
                <w:szCs w:val="24"/>
              </w:rPr>
            </w:pPr>
            <w:r>
              <w:rPr>
                <w:rFonts w:ascii="Arial" w:hAnsi="Arial" w:cs="Arial"/>
                <w:sz w:val="24"/>
                <w:szCs w:val="24"/>
              </w:rPr>
              <w:t>77</w:t>
            </w:r>
          </w:p>
        </w:tc>
      </w:tr>
      <w:tr w:rsidR="00A84D5A" w:rsidRPr="003011EC" w:rsidTr="00921790">
        <w:trPr>
          <w:trHeight w:val="545"/>
        </w:trPr>
        <w:tc>
          <w:tcPr>
            <w:tcW w:w="3794" w:type="dxa"/>
            <w:shd w:val="pct12" w:color="auto" w:fill="auto"/>
          </w:tcPr>
          <w:p w:rsidR="00A84D5A" w:rsidRDefault="00A84D5A" w:rsidP="008C6BA4">
            <w:pPr>
              <w:rPr>
                <w:rFonts w:ascii="Arial" w:hAnsi="Arial" w:cs="Arial"/>
                <w:b/>
                <w:sz w:val="24"/>
                <w:szCs w:val="24"/>
              </w:rPr>
            </w:pPr>
            <w:r>
              <w:rPr>
                <w:rFonts w:ascii="Arial" w:hAnsi="Arial" w:cs="Arial"/>
                <w:b/>
                <w:sz w:val="24"/>
                <w:szCs w:val="24"/>
              </w:rPr>
              <w:t>Completed by:</w:t>
            </w:r>
          </w:p>
        </w:tc>
        <w:tc>
          <w:tcPr>
            <w:tcW w:w="5670" w:type="dxa"/>
          </w:tcPr>
          <w:p w:rsidR="00A84D5A" w:rsidRDefault="00A84D5A" w:rsidP="008C6BA4">
            <w:pPr>
              <w:rPr>
                <w:rFonts w:ascii="Arial" w:hAnsi="Arial" w:cs="Arial"/>
                <w:sz w:val="24"/>
                <w:szCs w:val="24"/>
              </w:rPr>
            </w:pPr>
            <w:r>
              <w:rPr>
                <w:rFonts w:ascii="Arial" w:hAnsi="Arial" w:cs="Arial"/>
                <w:sz w:val="24"/>
                <w:szCs w:val="24"/>
              </w:rPr>
              <w:t>Zoe Kaveney</w:t>
            </w:r>
          </w:p>
        </w:tc>
      </w:tr>
      <w:tr w:rsidR="007E4544" w:rsidRPr="003011EC" w:rsidTr="00921790">
        <w:trPr>
          <w:trHeight w:val="545"/>
        </w:trPr>
        <w:tc>
          <w:tcPr>
            <w:tcW w:w="3794" w:type="dxa"/>
            <w:shd w:val="pct12" w:color="auto" w:fill="auto"/>
          </w:tcPr>
          <w:p w:rsidR="007E4544" w:rsidRDefault="00A84D5A" w:rsidP="008C6BA4">
            <w:pPr>
              <w:rPr>
                <w:rFonts w:ascii="Arial" w:hAnsi="Arial" w:cs="Arial"/>
                <w:b/>
                <w:sz w:val="24"/>
                <w:szCs w:val="24"/>
              </w:rPr>
            </w:pPr>
            <w:r>
              <w:rPr>
                <w:rFonts w:ascii="Arial" w:hAnsi="Arial" w:cs="Arial"/>
                <w:b/>
                <w:sz w:val="24"/>
                <w:szCs w:val="24"/>
              </w:rPr>
              <w:t>Date of Analysis</w:t>
            </w:r>
          </w:p>
        </w:tc>
        <w:tc>
          <w:tcPr>
            <w:tcW w:w="5670" w:type="dxa"/>
          </w:tcPr>
          <w:p w:rsidR="00F15D1F" w:rsidRPr="003011EC" w:rsidRDefault="00B114EE" w:rsidP="008C6BA4">
            <w:pPr>
              <w:rPr>
                <w:rFonts w:ascii="Arial" w:hAnsi="Arial" w:cs="Arial"/>
                <w:sz w:val="24"/>
                <w:szCs w:val="24"/>
              </w:rPr>
            </w:pPr>
            <w:r>
              <w:rPr>
                <w:rFonts w:ascii="Arial" w:hAnsi="Arial" w:cs="Arial"/>
                <w:sz w:val="24"/>
                <w:szCs w:val="24"/>
              </w:rPr>
              <w:t>22.4.</w:t>
            </w:r>
            <w:r w:rsidR="00A84D5A">
              <w:rPr>
                <w:rFonts w:ascii="Arial" w:hAnsi="Arial" w:cs="Arial"/>
                <w:sz w:val="24"/>
                <w:szCs w:val="24"/>
              </w:rPr>
              <w:t>2016</w:t>
            </w:r>
          </w:p>
        </w:tc>
      </w:tr>
      <w:tr w:rsidR="00A84D5A" w:rsidRPr="003011EC" w:rsidTr="00921790">
        <w:trPr>
          <w:trHeight w:val="347"/>
        </w:trPr>
        <w:tc>
          <w:tcPr>
            <w:tcW w:w="3794" w:type="dxa"/>
            <w:shd w:val="pct12" w:color="auto" w:fill="auto"/>
          </w:tcPr>
          <w:p w:rsidR="00A84D5A" w:rsidRDefault="00A84D5A" w:rsidP="00C210E4">
            <w:pPr>
              <w:rPr>
                <w:rFonts w:ascii="Arial" w:hAnsi="Arial" w:cs="Arial"/>
                <w:b/>
                <w:sz w:val="24"/>
                <w:szCs w:val="24"/>
              </w:rPr>
            </w:pPr>
            <w:r>
              <w:rPr>
                <w:rFonts w:ascii="Arial" w:hAnsi="Arial" w:cs="Arial"/>
                <w:b/>
                <w:sz w:val="24"/>
                <w:szCs w:val="24"/>
              </w:rPr>
              <w:t>Equality Analysis signed off by:</w:t>
            </w:r>
          </w:p>
        </w:tc>
        <w:tc>
          <w:tcPr>
            <w:tcW w:w="5670" w:type="dxa"/>
          </w:tcPr>
          <w:p w:rsidR="00A84D5A" w:rsidRDefault="00A84D5A" w:rsidP="00C210E4">
            <w:pPr>
              <w:rPr>
                <w:rFonts w:ascii="Arial" w:hAnsi="Arial" w:cs="Arial"/>
                <w:sz w:val="24"/>
                <w:szCs w:val="24"/>
              </w:rPr>
            </w:pPr>
            <w:r>
              <w:rPr>
                <w:rFonts w:ascii="Arial" w:hAnsi="Arial" w:cs="Arial"/>
                <w:sz w:val="24"/>
                <w:szCs w:val="24"/>
              </w:rPr>
              <w:t>Maggie Dent</w:t>
            </w:r>
          </w:p>
          <w:p w:rsidR="00A84D5A" w:rsidRPr="003011EC" w:rsidRDefault="00B114EE" w:rsidP="00C210E4">
            <w:pPr>
              <w:rPr>
                <w:rFonts w:ascii="Arial" w:hAnsi="Arial" w:cs="Arial"/>
                <w:sz w:val="24"/>
                <w:szCs w:val="24"/>
              </w:rPr>
            </w:pPr>
            <w:r>
              <w:rPr>
                <w:rFonts w:ascii="Arial" w:hAnsi="Arial" w:cs="Arial"/>
                <w:sz w:val="24"/>
                <w:szCs w:val="24"/>
              </w:rPr>
              <w:t>22.4.</w:t>
            </w:r>
            <w:bookmarkStart w:id="0" w:name="_GoBack"/>
            <w:bookmarkEnd w:id="0"/>
            <w:r w:rsidR="00A84D5A">
              <w:rPr>
                <w:rFonts w:ascii="Arial" w:hAnsi="Arial" w:cs="Arial"/>
                <w:sz w:val="24"/>
                <w:szCs w:val="24"/>
              </w:rPr>
              <w:t>2016</w:t>
            </w:r>
          </w:p>
        </w:tc>
      </w:tr>
      <w:tr w:rsidR="00A84D5A" w:rsidRPr="003011EC" w:rsidTr="00921790">
        <w:trPr>
          <w:trHeight w:val="1106"/>
        </w:trPr>
        <w:tc>
          <w:tcPr>
            <w:tcW w:w="3794" w:type="dxa"/>
            <w:shd w:val="pct12" w:color="auto" w:fill="auto"/>
          </w:tcPr>
          <w:p w:rsidR="00A84D5A" w:rsidRPr="00E97B83" w:rsidRDefault="00A84D5A" w:rsidP="008C6BA4">
            <w:pPr>
              <w:rPr>
                <w:rFonts w:ascii="Arial" w:hAnsi="Arial" w:cs="Arial"/>
                <w:sz w:val="24"/>
                <w:szCs w:val="24"/>
              </w:rPr>
            </w:pPr>
            <w:r w:rsidRPr="003011EC">
              <w:rPr>
                <w:rFonts w:ascii="Arial" w:hAnsi="Arial" w:cs="Arial"/>
                <w:b/>
                <w:sz w:val="24"/>
                <w:szCs w:val="24"/>
              </w:rPr>
              <w:t xml:space="preserve">Analysis Rating: </w:t>
            </w:r>
            <w:r w:rsidRPr="00E97B83">
              <w:rPr>
                <w:rFonts w:ascii="Arial" w:hAnsi="Arial" w:cs="Arial"/>
                <w:sz w:val="24"/>
                <w:szCs w:val="24"/>
              </w:rPr>
              <w:t>please highlight</w:t>
            </w:r>
          </w:p>
          <w:p w:rsidR="00A84D5A" w:rsidRPr="003011EC" w:rsidRDefault="00A84D5A" w:rsidP="008C6BA4">
            <w:pPr>
              <w:rPr>
                <w:rFonts w:ascii="Arial" w:hAnsi="Arial" w:cs="Arial"/>
                <w:b/>
                <w:sz w:val="24"/>
                <w:szCs w:val="24"/>
              </w:rPr>
            </w:pPr>
            <w:r w:rsidRPr="003011EC">
              <w:rPr>
                <w:rFonts w:ascii="Arial" w:hAnsi="Arial" w:cs="Arial"/>
                <w:sz w:val="24"/>
                <w:szCs w:val="24"/>
              </w:rPr>
              <w:t>(See Completion Notes</w:t>
            </w:r>
            <w:r>
              <w:rPr>
                <w:rFonts w:ascii="Arial" w:hAnsi="Arial" w:cs="Arial"/>
                <w:sz w:val="24"/>
                <w:szCs w:val="24"/>
              </w:rPr>
              <w:t xml:space="preserve"> at the end of this document</w:t>
            </w:r>
            <w:r w:rsidRPr="003011EC">
              <w:rPr>
                <w:rFonts w:ascii="Arial" w:hAnsi="Arial" w:cs="Arial"/>
                <w:sz w:val="24"/>
                <w:szCs w:val="24"/>
              </w:rPr>
              <w:t>)</w:t>
            </w:r>
          </w:p>
        </w:tc>
        <w:tc>
          <w:tcPr>
            <w:tcW w:w="5670" w:type="dxa"/>
          </w:tcPr>
          <w:p w:rsidR="00A84D5A" w:rsidRPr="005B76F9" w:rsidRDefault="00A84D5A" w:rsidP="005B76F9">
            <w:pPr>
              <w:pStyle w:val="ListParagraph"/>
              <w:numPr>
                <w:ilvl w:val="0"/>
                <w:numId w:val="6"/>
              </w:numPr>
              <w:rPr>
                <w:rFonts w:ascii="Arial" w:hAnsi="Arial" w:cs="Arial"/>
                <w:sz w:val="24"/>
                <w:szCs w:val="24"/>
              </w:rPr>
            </w:pPr>
            <w:r w:rsidRPr="005B76F9">
              <w:rPr>
                <w:rFonts w:ascii="Arial" w:hAnsi="Arial" w:cs="Arial"/>
                <w:sz w:val="24"/>
                <w:szCs w:val="24"/>
              </w:rPr>
              <w:t>Red</w:t>
            </w:r>
          </w:p>
          <w:p w:rsidR="00A84D5A" w:rsidRPr="005B76F9" w:rsidRDefault="00A84D5A" w:rsidP="005B76F9">
            <w:pPr>
              <w:pStyle w:val="ListParagraph"/>
              <w:numPr>
                <w:ilvl w:val="0"/>
                <w:numId w:val="6"/>
              </w:numPr>
              <w:rPr>
                <w:rFonts w:ascii="Arial" w:hAnsi="Arial" w:cs="Arial"/>
                <w:sz w:val="24"/>
                <w:szCs w:val="24"/>
              </w:rPr>
            </w:pPr>
            <w:r w:rsidRPr="005B76F9">
              <w:rPr>
                <w:rFonts w:ascii="Arial" w:hAnsi="Arial" w:cs="Arial"/>
                <w:sz w:val="24"/>
                <w:szCs w:val="24"/>
              </w:rPr>
              <w:t>Red/Amber</w:t>
            </w:r>
          </w:p>
          <w:p w:rsidR="00A84D5A" w:rsidRPr="00393D1A" w:rsidRDefault="00A84D5A" w:rsidP="00E37EFA">
            <w:pPr>
              <w:pStyle w:val="ListParagraph"/>
              <w:numPr>
                <w:ilvl w:val="0"/>
                <w:numId w:val="6"/>
              </w:numPr>
              <w:rPr>
                <w:rFonts w:ascii="Arial" w:hAnsi="Arial" w:cs="Arial"/>
                <w:b/>
                <w:sz w:val="24"/>
                <w:szCs w:val="24"/>
              </w:rPr>
            </w:pPr>
            <w:r w:rsidRPr="00393D1A">
              <w:rPr>
                <w:rFonts w:ascii="Arial" w:hAnsi="Arial" w:cs="Arial"/>
                <w:b/>
                <w:sz w:val="24"/>
                <w:szCs w:val="24"/>
                <w:highlight w:val="yellow"/>
              </w:rPr>
              <w:t>Amber</w:t>
            </w:r>
          </w:p>
          <w:p w:rsidR="00A84D5A" w:rsidRPr="005B76F9" w:rsidRDefault="00A84D5A" w:rsidP="00E37EFA">
            <w:pPr>
              <w:pStyle w:val="ListParagraph"/>
              <w:numPr>
                <w:ilvl w:val="0"/>
                <w:numId w:val="6"/>
              </w:numPr>
              <w:rPr>
                <w:rFonts w:ascii="Arial" w:hAnsi="Arial" w:cs="Arial"/>
                <w:sz w:val="24"/>
                <w:szCs w:val="24"/>
              </w:rPr>
            </w:pPr>
            <w:r w:rsidRPr="00E37EFA">
              <w:rPr>
                <w:rFonts w:ascii="Arial" w:hAnsi="Arial" w:cs="Arial"/>
                <w:sz w:val="24"/>
                <w:szCs w:val="24"/>
              </w:rPr>
              <w:t>Green</w:t>
            </w:r>
          </w:p>
        </w:tc>
      </w:tr>
      <w:tr w:rsidR="00A84D5A" w:rsidRPr="003011EC" w:rsidTr="00921790">
        <w:tc>
          <w:tcPr>
            <w:tcW w:w="3794" w:type="dxa"/>
            <w:shd w:val="pct12" w:color="auto" w:fill="auto"/>
          </w:tcPr>
          <w:p w:rsidR="00A84D5A" w:rsidRPr="003011EC" w:rsidRDefault="00A84D5A" w:rsidP="008C6BA4">
            <w:pPr>
              <w:rPr>
                <w:rFonts w:ascii="Arial" w:hAnsi="Arial" w:cs="Arial"/>
                <w:b/>
                <w:sz w:val="24"/>
                <w:szCs w:val="24"/>
              </w:rPr>
            </w:pPr>
            <w:r w:rsidRPr="003011EC">
              <w:rPr>
                <w:rFonts w:ascii="Arial" w:hAnsi="Arial" w:cs="Arial"/>
                <w:b/>
                <w:sz w:val="24"/>
                <w:szCs w:val="24"/>
              </w:rPr>
              <w:t xml:space="preserve">Type of Analysis Performed: </w:t>
            </w:r>
          </w:p>
          <w:p w:rsidR="00A84D5A" w:rsidRPr="003011EC" w:rsidRDefault="00A84D5A" w:rsidP="008C6BA4">
            <w:pPr>
              <w:rPr>
                <w:rFonts w:ascii="Arial" w:hAnsi="Arial" w:cs="Arial"/>
                <w:sz w:val="24"/>
                <w:szCs w:val="24"/>
              </w:rPr>
            </w:pPr>
            <w:r w:rsidRPr="003011EC">
              <w:rPr>
                <w:rFonts w:ascii="Arial" w:hAnsi="Arial" w:cs="Arial"/>
                <w:sz w:val="24"/>
                <w:szCs w:val="24"/>
              </w:rPr>
              <w:t xml:space="preserve"> Please Tick  </w:t>
            </w:r>
            <w:r w:rsidRPr="003011EC">
              <w:rPr>
                <w:rFonts w:ascii="Arial" w:hAnsi="Arial" w:cs="Arial"/>
                <w:sz w:val="24"/>
                <w:szCs w:val="24"/>
              </w:rPr>
              <w:sym w:font="Webdings" w:char="F061"/>
            </w:r>
            <w:r>
              <w:rPr>
                <w:rFonts w:ascii="Arial" w:hAnsi="Arial" w:cs="Arial"/>
                <w:sz w:val="24"/>
                <w:szCs w:val="24"/>
              </w:rPr>
              <w:t>or Highlight</w:t>
            </w:r>
          </w:p>
          <w:p w:rsidR="00A84D5A" w:rsidRPr="003011EC" w:rsidRDefault="00A84D5A" w:rsidP="008C6BA4">
            <w:pPr>
              <w:rPr>
                <w:rFonts w:ascii="Arial" w:hAnsi="Arial" w:cs="Arial"/>
                <w:sz w:val="24"/>
                <w:szCs w:val="24"/>
              </w:rPr>
            </w:pPr>
            <w:r w:rsidRPr="003011EC">
              <w:rPr>
                <w:rFonts w:ascii="Arial" w:hAnsi="Arial" w:cs="Arial"/>
                <w:b/>
                <w:sz w:val="24"/>
                <w:szCs w:val="24"/>
              </w:rPr>
              <w:t xml:space="preserve">       </w:t>
            </w:r>
          </w:p>
        </w:tc>
        <w:tc>
          <w:tcPr>
            <w:tcW w:w="5670" w:type="dxa"/>
          </w:tcPr>
          <w:p w:rsidR="00A84D5A" w:rsidRPr="00393D1A" w:rsidRDefault="00A84D5A" w:rsidP="003011EC">
            <w:pPr>
              <w:pStyle w:val="ListParagraph"/>
              <w:numPr>
                <w:ilvl w:val="0"/>
                <w:numId w:val="2"/>
              </w:numPr>
              <w:rPr>
                <w:rFonts w:ascii="Arial" w:hAnsi="Arial" w:cs="Arial"/>
                <w:b/>
                <w:sz w:val="24"/>
                <w:szCs w:val="24"/>
                <w:highlight w:val="yellow"/>
              </w:rPr>
            </w:pPr>
            <w:r w:rsidRPr="00393D1A">
              <w:rPr>
                <w:rFonts w:ascii="Arial" w:hAnsi="Arial" w:cs="Arial"/>
                <w:b/>
                <w:sz w:val="24"/>
                <w:szCs w:val="24"/>
                <w:highlight w:val="yellow"/>
              </w:rPr>
              <w:t>Business Case</w:t>
            </w:r>
          </w:p>
          <w:p w:rsidR="00A84D5A" w:rsidRPr="00994A6F" w:rsidRDefault="00A84D5A" w:rsidP="003011EC">
            <w:pPr>
              <w:pStyle w:val="ListParagraph"/>
              <w:numPr>
                <w:ilvl w:val="0"/>
                <w:numId w:val="2"/>
              </w:numPr>
              <w:rPr>
                <w:rFonts w:ascii="Arial" w:hAnsi="Arial" w:cs="Arial"/>
                <w:sz w:val="24"/>
                <w:szCs w:val="24"/>
              </w:rPr>
            </w:pPr>
            <w:r w:rsidRPr="00994A6F">
              <w:rPr>
                <w:rFonts w:ascii="Arial" w:hAnsi="Arial" w:cs="Arial"/>
                <w:sz w:val="24"/>
                <w:szCs w:val="24"/>
              </w:rPr>
              <w:t>Service re-design</w:t>
            </w:r>
          </w:p>
          <w:p w:rsidR="00A84D5A" w:rsidRPr="003011EC"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Policy Analysis   </w:t>
            </w:r>
          </w:p>
          <w:p w:rsidR="00A84D5A"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Consultation </w:t>
            </w:r>
          </w:p>
          <w:p w:rsidR="00A84D5A"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Meeting </w:t>
            </w:r>
          </w:p>
          <w:p w:rsidR="00A84D5A" w:rsidRPr="003011EC" w:rsidRDefault="00A84D5A" w:rsidP="003011EC">
            <w:pPr>
              <w:pStyle w:val="ListParagraph"/>
              <w:numPr>
                <w:ilvl w:val="0"/>
                <w:numId w:val="2"/>
              </w:numPr>
              <w:rPr>
                <w:rFonts w:ascii="Arial" w:hAnsi="Arial" w:cs="Arial"/>
                <w:sz w:val="24"/>
                <w:szCs w:val="24"/>
              </w:rPr>
            </w:pPr>
            <w:r w:rsidRPr="003011EC">
              <w:rPr>
                <w:rFonts w:ascii="Arial" w:hAnsi="Arial" w:cs="Arial"/>
                <w:sz w:val="24"/>
                <w:szCs w:val="24"/>
              </w:rPr>
              <w:t xml:space="preserve">Other </w:t>
            </w:r>
          </w:p>
        </w:tc>
      </w:tr>
      <w:tr w:rsidR="00A84D5A" w:rsidRPr="003011EC" w:rsidTr="00921790">
        <w:tc>
          <w:tcPr>
            <w:tcW w:w="3794" w:type="dxa"/>
            <w:shd w:val="pct12" w:color="auto" w:fill="auto"/>
          </w:tcPr>
          <w:p w:rsidR="00A84D5A" w:rsidRPr="003011EC" w:rsidRDefault="00A84D5A" w:rsidP="008C6BA4">
            <w:pPr>
              <w:rPr>
                <w:rFonts w:ascii="Arial" w:hAnsi="Arial" w:cs="Arial"/>
                <w:sz w:val="24"/>
                <w:szCs w:val="24"/>
              </w:rPr>
            </w:pPr>
            <w:r w:rsidRPr="00E97B83">
              <w:rPr>
                <w:rFonts w:ascii="Arial" w:hAnsi="Arial" w:cs="Arial"/>
                <w:sz w:val="24"/>
                <w:szCs w:val="24"/>
              </w:rPr>
              <w:t xml:space="preserve">Please list any other policies  that are related to or referred to as part of this analysis </w:t>
            </w:r>
          </w:p>
        </w:tc>
        <w:tc>
          <w:tcPr>
            <w:tcW w:w="5670" w:type="dxa"/>
          </w:tcPr>
          <w:p w:rsidR="00A84D5A" w:rsidRPr="003011EC" w:rsidRDefault="009D43A4" w:rsidP="008C6BA4">
            <w:pPr>
              <w:rPr>
                <w:rFonts w:ascii="Arial" w:hAnsi="Arial" w:cs="Arial"/>
                <w:sz w:val="24"/>
                <w:szCs w:val="24"/>
              </w:rPr>
            </w:pPr>
            <w:r>
              <w:rPr>
                <w:rFonts w:ascii="Arial" w:hAnsi="Arial" w:cs="Arial"/>
                <w:sz w:val="24"/>
                <w:szCs w:val="24"/>
              </w:rPr>
              <w:t>n/a</w:t>
            </w:r>
          </w:p>
        </w:tc>
      </w:tr>
      <w:tr w:rsidR="00A84D5A" w:rsidRPr="003011EC" w:rsidTr="00921790">
        <w:tc>
          <w:tcPr>
            <w:tcW w:w="3794" w:type="dxa"/>
            <w:shd w:val="pct12" w:color="auto" w:fill="auto"/>
          </w:tcPr>
          <w:p w:rsidR="00A84D5A" w:rsidRDefault="00A84D5A" w:rsidP="00E97B83">
            <w:pPr>
              <w:rPr>
                <w:rFonts w:ascii="Arial" w:hAnsi="Arial" w:cs="Arial"/>
                <w:b/>
                <w:sz w:val="24"/>
                <w:szCs w:val="24"/>
              </w:rPr>
            </w:pPr>
            <w:r w:rsidRPr="003011EC">
              <w:rPr>
                <w:rFonts w:ascii="Arial" w:hAnsi="Arial" w:cs="Arial"/>
                <w:b/>
                <w:sz w:val="24"/>
                <w:szCs w:val="24"/>
              </w:rPr>
              <w:t xml:space="preserve">Who does the policy, project or function affect?  </w:t>
            </w:r>
          </w:p>
          <w:p w:rsidR="00A84D5A" w:rsidRPr="00E97B83" w:rsidRDefault="00A84D5A" w:rsidP="00E97B83">
            <w:pPr>
              <w:rPr>
                <w:rFonts w:ascii="Arial" w:hAnsi="Arial" w:cs="Arial"/>
                <w:b/>
                <w:sz w:val="24"/>
                <w:szCs w:val="24"/>
              </w:rPr>
            </w:pPr>
            <w:r w:rsidRPr="003011EC">
              <w:rPr>
                <w:rFonts w:ascii="Arial" w:hAnsi="Arial" w:cs="Arial"/>
                <w:sz w:val="24"/>
                <w:szCs w:val="24"/>
              </w:rPr>
              <w:t xml:space="preserve">Please Tick  </w:t>
            </w:r>
            <w:r w:rsidRPr="003011EC">
              <w:rPr>
                <w:rFonts w:ascii="Arial" w:hAnsi="Arial" w:cs="Arial"/>
                <w:sz w:val="24"/>
                <w:szCs w:val="24"/>
              </w:rPr>
              <w:sym w:font="Webdings" w:char="F061"/>
            </w:r>
            <w:r>
              <w:rPr>
                <w:rFonts w:ascii="Arial" w:hAnsi="Arial" w:cs="Arial"/>
                <w:sz w:val="24"/>
                <w:szCs w:val="24"/>
              </w:rPr>
              <w:t>or Highlight</w:t>
            </w:r>
          </w:p>
          <w:p w:rsidR="00A84D5A" w:rsidRPr="003011EC" w:rsidRDefault="00A84D5A" w:rsidP="008C6BA4">
            <w:pPr>
              <w:rPr>
                <w:rFonts w:ascii="Arial" w:hAnsi="Arial" w:cs="Arial"/>
                <w:sz w:val="24"/>
                <w:szCs w:val="24"/>
              </w:rPr>
            </w:pPr>
            <w:r w:rsidRPr="003011EC">
              <w:rPr>
                <w:rFonts w:ascii="Arial" w:hAnsi="Arial" w:cs="Arial"/>
                <w:b/>
                <w:sz w:val="24"/>
                <w:szCs w:val="24"/>
              </w:rPr>
              <w:t xml:space="preserve">       </w:t>
            </w:r>
          </w:p>
        </w:tc>
        <w:tc>
          <w:tcPr>
            <w:tcW w:w="5670" w:type="dxa"/>
          </w:tcPr>
          <w:p w:rsidR="00A84D5A" w:rsidRPr="00DE4EC1" w:rsidRDefault="00A84D5A" w:rsidP="00E97B83">
            <w:pPr>
              <w:pStyle w:val="ListParagraph"/>
              <w:numPr>
                <w:ilvl w:val="0"/>
                <w:numId w:val="3"/>
              </w:numPr>
              <w:rPr>
                <w:rFonts w:ascii="Arial" w:hAnsi="Arial" w:cs="Arial"/>
                <w:b/>
                <w:sz w:val="24"/>
                <w:szCs w:val="24"/>
                <w:highlight w:val="yellow"/>
              </w:rPr>
            </w:pPr>
            <w:r w:rsidRPr="00DE4EC1">
              <w:rPr>
                <w:rFonts w:ascii="Arial" w:hAnsi="Arial" w:cs="Arial"/>
                <w:b/>
                <w:sz w:val="24"/>
                <w:szCs w:val="24"/>
                <w:highlight w:val="yellow"/>
              </w:rPr>
              <w:t xml:space="preserve">Employees   </w:t>
            </w:r>
          </w:p>
          <w:p w:rsidR="00A84D5A" w:rsidRPr="004D56DF" w:rsidRDefault="00A84D5A" w:rsidP="00E97B83">
            <w:pPr>
              <w:pStyle w:val="ListParagraph"/>
              <w:numPr>
                <w:ilvl w:val="0"/>
                <w:numId w:val="3"/>
              </w:numPr>
              <w:rPr>
                <w:rFonts w:ascii="Arial" w:hAnsi="Arial" w:cs="Arial"/>
                <w:b/>
                <w:sz w:val="24"/>
                <w:szCs w:val="24"/>
                <w:highlight w:val="yellow"/>
              </w:rPr>
            </w:pPr>
            <w:r w:rsidRPr="004D56DF">
              <w:rPr>
                <w:rFonts w:ascii="Arial" w:hAnsi="Arial" w:cs="Arial"/>
                <w:b/>
                <w:sz w:val="24"/>
                <w:szCs w:val="24"/>
                <w:highlight w:val="yellow"/>
              </w:rPr>
              <w:t xml:space="preserve">Service Users  </w:t>
            </w:r>
          </w:p>
          <w:p w:rsidR="00A84D5A" w:rsidRDefault="00A84D5A" w:rsidP="008C6BA4">
            <w:pPr>
              <w:pStyle w:val="ListParagraph"/>
              <w:numPr>
                <w:ilvl w:val="0"/>
                <w:numId w:val="3"/>
              </w:numPr>
              <w:rPr>
                <w:rFonts w:ascii="Arial" w:hAnsi="Arial" w:cs="Arial"/>
                <w:sz w:val="24"/>
                <w:szCs w:val="24"/>
              </w:rPr>
            </w:pPr>
            <w:r>
              <w:rPr>
                <w:rFonts w:ascii="Arial" w:hAnsi="Arial" w:cs="Arial"/>
                <w:sz w:val="24"/>
                <w:szCs w:val="24"/>
              </w:rPr>
              <w:t>A</w:t>
            </w:r>
            <w:r w:rsidRPr="00E97B83">
              <w:rPr>
                <w:rFonts w:ascii="Arial" w:hAnsi="Arial" w:cs="Arial"/>
                <w:sz w:val="24"/>
                <w:szCs w:val="24"/>
              </w:rPr>
              <w:t xml:space="preserve">pplicants  </w:t>
            </w:r>
          </w:p>
          <w:p w:rsidR="00A84D5A" w:rsidRPr="00393D1A" w:rsidRDefault="00A84D5A" w:rsidP="008C6BA4">
            <w:pPr>
              <w:pStyle w:val="ListParagraph"/>
              <w:numPr>
                <w:ilvl w:val="0"/>
                <w:numId w:val="3"/>
              </w:numPr>
              <w:rPr>
                <w:rFonts w:ascii="Arial" w:hAnsi="Arial" w:cs="Arial"/>
                <w:b/>
                <w:sz w:val="24"/>
                <w:szCs w:val="24"/>
                <w:highlight w:val="yellow"/>
              </w:rPr>
            </w:pPr>
            <w:r w:rsidRPr="00393D1A">
              <w:rPr>
                <w:rFonts w:ascii="Arial" w:hAnsi="Arial" w:cs="Arial"/>
                <w:b/>
                <w:sz w:val="24"/>
                <w:szCs w:val="24"/>
                <w:highlight w:val="yellow"/>
              </w:rPr>
              <w:t xml:space="preserve">Members of the Public  </w:t>
            </w:r>
          </w:p>
          <w:p w:rsidR="00A84D5A" w:rsidRPr="00E97B83" w:rsidRDefault="00A84D5A" w:rsidP="008C6BA4">
            <w:pPr>
              <w:pStyle w:val="ListParagraph"/>
              <w:numPr>
                <w:ilvl w:val="0"/>
                <w:numId w:val="3"/>
              </w:numPr>
              <w:rPr>
                <w:rFonts w:ascii="Arial" w:hAnsi="Arial" w:cs="Arial"/>
                <w:sz w:val="24"/>
                <w:szCs w:val="24"/>
              </w:rPr>
            </w:pPr>
            <w:r w:rsidRPr="00E97B83">
              <w:rPr>
                <w:rFonts w:ascii="Arial" w:hAnsi="Arial" w:cs="Arial"/>
                <w:sz w:val="24"/>
                <w:szCs w:val="24"/>
              </w:rPr>
              <w:t xml:space="preserve">Other (List Below) </w:t>
            </w:r>
          </w:p>
          <w:p w:rsidR="00A84D5A" w:rsidRPr="00871F7E" w:rsidRDefault="00A84D5A" w:rsidP="00871F7E">
            <w:pPr>
              <w:numPr>
                <w:ilvl w:val="0"/>
                <w:numId w:val="8"/>
              </w:numPr>
              <w:spacing w:after="0" w:line="240" w:lineRule="auto"/>
              <w:ind w:left="360" w:right="379"/>
              <w:rPr>
                <w:color w:val="0070C0"/>
                <w:szCs w:val="24"/>
              </w:rPr>
            </w:pPr>
            <w:r w:rsidRPr="003845AC">
              <w:rPr>
                <w:szCs w:val="24"/>
              </w:rPr>
              <w:t>Any changes to the service will only affect patients registered with an Oxfordshire General Practitioner</w:t>
            </w:r>
            <w:r w:rsidRPr="003845AC">
              <w:rPr>
                <w:color w:val="0070C0"/>
                <w:szCs w:val="24"/>
              </w:rPr>
              <w:t>.</w:t>
            </w:r>
          </w:p>
          <w:p w:rsidR="00A84D5A" w:rsidRPr="00871F7E" w:rsidRDefault="00A84D5A" w:rsidP="00871F7E">
            <w:pPr>
              <w:numPr>
                <w:ilvl w:val="0"/>
                <w:numId w:val="8"/>
              </w:numPr>
              <w:spacing w:after="0" w:line="240" w:lineRule="auto"/>
              <w:ind w:left="360" w:right="379"/>
              <w:rPr>
                <w:szCs w:val="24"/>
              </w:rPr>
            </w:pPr>
            <w:r w:rsidRPr="003845AC">
              <w:rPr>
                <w:szCs w:val="24"/>
              </w:rPr>
              <w:t>Patients that currently do not use the service but may do so in the future.</w:t>
            </w:r>
          </w:p>
          <w:p w:rsidR="00A84D5A" w:rsidRPr="00871F7E" w:rsidRDefault="00A84D5A" w:rsidP="00871F7E">
            <w:pPr>
              <w:numPr>
                <w:ilvl w:val="0"/>
                <w:numId w:val="8"/>
              </w:numPr>
              <w:spacing w:after="0" w:line="240" w:lineRule="auto"/>
              <w:ind w:left="360" w:right="379"/>
              <w:rPr>
                <w:szCs w:val="24"/>
              </w:rPr>
            </w:pPr>
            <w:r w:rsidRPr="003845AC">
              <w:rPr>
                <w:szCs w:val="24"/>
              </w:rPr>
              <w:t xml:space="preserve">Staff currently providing laboratory services may encounter some increase in workload </w:t>
            </w:r>
          </w:p>
          <w:p w:rsidR="00A84D5A" w:rsidRPr="00871F7E" w:rsidRDefault="00A84D5A" w:rsidP="008C6BA4">
            <w:pPr>
              <w:numPr>
                <w:ilvl w:val="0"/>
                <w:numId w:val="8"/>
              </w:numPr>
              <w:spacing w:after="0" w:line="240" w:lineRule="auto"/>
              <w:ind w:left="360" w:right="379"/>
              <w:rPr>
                <w:szCs w:val="24"/>
              </w:rPr>
            </w:pPr>
            <w:r w:rsidRPr="003845AC">
              <w:rPr>
                <w:szCs w:val="24"/>
              </w:rPr>
              <w:t>Staff working in healthcare organisations that currently deliver services from locations that might be impacted by any service being delivered in a significantly different location.</w:t>
            </w:r>
          </w:p>
        </w:tc>
      </w:tr>
    </w:tbl>
    <w:p w:rsidR="00921790" w:rsidRDefault="00921790" w:rsidP="002953DB">
      <w:pPr>
        <w:tabs>
          <w:tab w:val="left" w:pos="1770"/>
        </w:tabs>
        <w:rPr>
          <w:rFonts w:ascii="Arial" w:hAnsi="Arial" w:cs="Arial"/>
          <w:sz w:val="24"/>
          <w:szCs w:val="24"/>
        </w:rPr>
      </w:pPr>
    </w:p>
    <w:tbl>
      <w:tblPr>
        <w:tblStyle w:val="TableGrid"/>
        <w:tblW w:w="9747" w:type="dxa"/>
        <w:tblLook w:val="04A0" w:firstRow="1" w:lastRow="0" w:firstColumn="1" w:lastColumn="0" w:noHBand="0" w:noVBand="1"/>
      </w:tblPr>
      <w:tblGrid>
        <w:gridCol w:w="4621"/>
        <w:gridCol w:w="5126"/>
      </w:tblGrid>
      <w:tr w:rsidR="003011EC" w:rsidRPr="003011EC" w:rsidTr="00CE3D35">
        <w:tc>
          <w:tcPr>
            <w:tcW w:w="9747" w:type="dxa"/>
            <w:gridSpan w:val="2"/>
            <w:shd w:val="clear" w:color="auto" w:fill="DBE5F1" w:themeFill="accent1" w:themeFillTint="33"/>
          </w:tcPr>
          <w:p w:rsidR="003011EC" w:rsidRPr="00921790" w:rsidRDefault="003011EC" w:rsidP="00994A6F">
            <w:pPr>
              <w:jc w:val="center"/>
              <w:rPr>
                <w:rFonts w:ascii="Arial" w:hAnsi="Arial" w:cs="Arial"/>
                <w:b/>
                <w:sz w:val="24"/>
                <w:szCs w:val="24"/>
              </w:rPr>
            </w:pPr>
            <w:r w:rsidRPr="003011EC">
              <w:rPr>
                <w:rFonts w:ascii="Arial" w:hAnsi="Arial" w:cs="Arial"/>
                <w:b/>
                <w:sz w:val="24"/>
                <w:szCs w:val="24"/>
              </w:rPr>
              <w:t>Equality Analysis</w:t>
            </w:r>
          </w:p>
        </w:tc>
      </w:tr>
      <w:tr w:rsidR="003011EC" w:rsidRPr="003011EC" w:rsidTr="00CE3D35">
        <w:tc>
          <w:tcPr>
            <w:tcW w:w="4621"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What are the aims and intended effects of this policy, project or function?</w:t>
            </w:r>
          </w:p>
          <w:p w:rsidR="003011EC" w:rsidRPr="003011EC" w:rsidRDefault="003011EC" w:rsidP="008C6BA4">
            <w:pPr>
              <w:rPr>
                <w:rFonts w:ascii="Arial" w:hAnsi="Arial" w:cs="Arial"/>
                <w:b/>
                <w:sz w:val="24"/>
                <w:szCs w:val="24"/>
              </w:rPr>
            </w:pPr>
          </w:p>
          <w:p w:rsidR="003011EC" w:rsidRPr="003011EC" w:rsidRDefault="003011EC" w:rsidP="008C6BA4">
            <w:pPr>
              <w:rPr>
                <w:rFonts w:ascii="Arial" w:hAnsi="Arial" w:cs="Arial"/>
                <w:b/>
                <w:sz w:val="24"/>
                <w:szCs w:val="24"/>
              </w:rPr>
            </w:pPr>
          </w:p>
          <w:p w:rsidR="003011EC" w:rsidRPr="003011EC" w:rsidRDefault="003011EC" w:rsidP="008C6BA4">
            <w:pPr>
              <w:rPr>
                <w:rFonts w:ascii="Arial" w:hAnsi="Arial" w:cs="Arial"/>
                <w:b/>
                <w:sz w:val="24"/>
                <w:szCs w:val="24"/>
              </w:rPr>
            </w:pPr>
          </w:p>
          <w:p w:rsidR="003011EC" w:rsidRPr="003011EC" w:rsidRDefault="003011EC" w:rsidP="008C6BA4">
            <w:pPr>
              <w:rPr>
                <w:rFonts w:ascii="Arial" w:hAnsi="Arial" w:cs="Arial"/>
                <w:sz w:val="24"/>
                <w:szCs w:val="24"/>
              </w:rPr>
            </w:pPr>
            <w:r w:rsidRPr="003011EC">
              <w:rPr>
                <w:rFonts w:ascii="Arial" w:hAnsi="Arial" w:cs="Arial"/>
                <w:b/>
                <w:sz w:val="24"/>
                <w:szCs w:val="24"/>
              </w:rPr>
              <w:t xml:space="preserve">   </w:t>
            </w:r>
          </w:p>
        </w:tc>
        <w:tc>
          <w:tcPr>
            <w:tcW w:w="5126" w:type="dxa"/>
          </w:tcPr>
          <w:p w:rsidR="00D775A5" w:rsidRPr="00452571" w:rsidRDefault="00D775A5" w:rsidP="00D775A5">
            <w:pPr>
              <w:rPr>
                <w:rFonts w:cs="Arial"/>
                <w:color w:val="000000" w:themeColor="text1"/>
              </w:rPr>
            </w:pPr>
            <w:r w:rsidRPr="00452571">
              <w:rPr>
                <w:rFonts w:cs="Arial"/>
                <w:color w:val="000000" w:themeColor="text1"/>
              </w:rPr>
              <w:t>This business case proposes a Headache Pathway that:</w:t>
            </w:r>
          </w:p>
          <w:p w:rsidR="00D775A5" w:rsidRPr="00452571" w:rsidRDefault="00D775A5" w:rsidP="00D775A5">
            <w:pPr>
              <w:pStyle w:val="ListParagraph"/>
              <w:numPr>
                <w:ilvl w:val="0"/>
                <w:numId w:val="9"/>
              </w:numPr>
              <w:spacing w:after="0" w:line="240" w:lineRule="auto"/>
              <w:rPr>
                <w:rFonts w:cs="Arial"/>
                <w:color w:val="000000" w:themeColor="text1"/>
              </w:rPr>
            </w:pPr>
            <w:r w:rsidRPr="00452571">
              <w:rPr>
                <w:rFonts w:cs="Arial"/>
                <w:color w:val="000000" w:themeColor="text1"/>
              </w:rPr>
              <w:t>Empowers GPs to diagnose and manage more primary headache disorders in the community, through detailed accessible management and referral guidelines</w:t>
            </w:r>
          </w:p>
          <w:p w:rsidR="00D775A5" w:rsidRPr="00452571" w:rsidRDefault="00D775A5" w:rsidP="00D775A5">
            <w:pPr>
              <w:pStyle w:val="ListParagraph"/>
              <w:numPr>
                <w:ilvl w:val="0"/>
                <w:numId w:val="9"/>
              </w:numPr>
              <w:spacing w:after="0" w:line="240" w:lineRule="auto"/>
              <w:rPr>
                <w:rFonts w:cs="Arial"/>
                <w:color w:val="000000" w:themeColor="text1"/>
              </w:rPr>
            </w:pPr>
            <w:r w:rsidRPr="00452571">
              <w:rPr>
                <w:rFonts w:cs="Arial"/>
                <w:color w:val="000000" w:themeColor="text1"/>
              </w:rPr>
              <w:t xml:space="preserve">Has a central triage process that re-directs selected headache referrals </w:t>
            </w:r>
            <w:r>
              <w:rPr>
                <w:rFonts w:cs="Arial"/>
                <w:color w:val="000000" w:themeColor="text1"/>
              </w:rPr>
              <w:t>away fro</w:t>
            </w:r>
            <w:r w:rsidRPr="00452571">
              <w:rPr>
                <w:rFonts w:cs="Arial"/>
                <w:color w:val="000000" w:themeColor="text1"/>
              </w:rPr>
              <w:t>m secondary care out-patient departments to more cost- and time-effective solutions, including community headache clinics, imaging without appointment, and opportunities for advice back to referrer without appointment.</w:t>
            </w:r>
          </w:p>
          <w:p w:rsidR="00D775A5" w:rsidRDefault="00D775A5" w:rsidP="009D43A4">
            <w:pPr>
              <w:pStyle w:val="ListParagraph"/>
              <w:numPr>
                <w:ilvl w:val="0"/>
                <w:numId w:val="9"/>
              </w:numPr>
              <w:spacing w:after="0" w:line="240" w:lineRule="auto"/>
              <w:rPr>
                <w:rFonts w:cs="Arial"/>
                <w:color w:val="000000" w:themeColor="text1"/>
              </w:rPr>
            </w:pPr>
            <w:r w:rsidRPr="00452571">
              <w:rPr>
                <w:rFonts w:cs="Arial"/>
                <w:color w:val="000000" w:themeColor="text1"/>
              </w:rPr>
              <w:t>Has clinical oversight from a Headache Consultant who is able to over-see the triage process and support A&amp;E.</w:t>
            </w:r>
          </w:p>
          <w:p w:rsidR="009D43A4" w:rsidRPr="009D43A4" w:rsidRDefault="009D43A4" w:rsidP="009D43A4">
            <w:pPr>
              <w:pStyle w:val="ListParagraph"/>
              <w:spacing w:after="0" w:line="240" w:lineRule="auto"/>
              <w:ind w:left="778"/>
              <w:rPr>
                <w:rFonts w:cs="Arial"/>
                <w:color w:val="000000" w:themeColor="text1"/>
              </w:rPr>
            </w:pPr>
          </w:p>
          <w:p w:rsidR="00871F7E" w:rsidRPr="00D775A5" w:rsidRDefault="00D775A5" w:rsidP="00D775A5">
            <w:pPr>
              <w:ind w:left="58"/>
              <w:rPr>
                <w:rFonts w:cs="Arial"/>
                <w:color w:val="000000" w:themeColor="text1"/>
              </w:rPr>
            </w:pPr>
            <w:r w:rsidRPr="00452571">
              <w:rPr>
                <w:rFonts w:cs="Arial"/>
                <w:color w:val="000000" w:themeColor="text1"/>
              </w:rPr>
              <w:t xml:space="preserve">The outcome is improved capacity at </w:t>
            </w:r>
            <w:r>
              <w:rPr>
                <w:rFonts w:cs="Arial"/>
                <w:color w:val="000000" w:themeColor="text1"/>
              </w:rPr>
              <w:t>OUHFT</w:t>
            </w:r>
            <w:r w:rsidRPr="00452571">
              <w:rPr>
                <w:rFonts w:cs="Arial"/>
                <w:color w:val="000000" w:themeColor="text1"/>
              </w:rPr>
              <w:t>, prompter access for patients, a happier workforce, and a headache service that is cutting edge nationally.</w:t>
            </w:r>
          </w:p>
        </w:tc>
      </w:tr>
      <w:tr w:rsidR="003011EC" w:rsidRPr="003011EC" w:rsidTr="00CE3D35">
        <w:tc>
          <w:tcPr>
            <w:tcW w:w="4621" w:type="dxa"/>
            <w:shd w:val="pct12" w:color="auto" w:fill="auto"/>
          </w:tcPr>
          <w:p w:rsidR="003011EC" w:rsidRPr="00921790" w:rsidRDefault="003011EC" w:rsidP="008C6BA4">
            <w:pPr>
              <w:rPr>
                <w:rFonts w:ascii="Arial" w:hAnsi="Arial" w:cs="Arial"/>
                <w:b/>
                <w:sz w:val="24"/>
                <w:szCs w:val="24"/>
              </w:rPr>
            </w:pPr>
            <w:r w:rsidRPr="003011EC">
              <w:rPr>
                <w:rFonts w:ascii="Arial" w:hAnsi="Arial" w:cs="Arial"/>
                <w:b/>
                <w:sz w:val="24"/>
                <w:szCs w:val="24"/>
              </w:rPr>
              <w:t xml:space="preserve">Is any Equality Data available </w:t>
            </w:r>
            <w:r w:rsidR="00921790">
              <w:rPr>
                <w:rFonts w:ascii="Arial" w:hAnsi="Arial" w:cs="Arial"/>
                <w:b/>
                <w:sz w:val="24"/>
                <w:szCs w:val="24"/>
              </w:rPr>
              <w:t>relating to the use or implementation of this policy,</w:t>
            </w:r>
            <w:r w:rsidRPr="003011EC">
              <w:rPr>
                <w:rFonts w:ascii="Arial" w:hAnsi="Arial" w:cs="Arial"/>
                <w:b/>
                <w:sz w:val="24"/>
                <w:szCs w:val="24"/>
              </w:rPr>
              <w:t xml:space="preserve"> project or function?  </w:t>
            </w:r>
          </w:p>
          <w:p w:rsidR="003011EC" w:rsidRPr="003011EC" w:rsidRDefault="004E6F3B" w:rsidP="008C6BA4">
            <w:pPr>
              <w:rPr>
                <w:rFonts w:ascii="Arial" w:hAnsi="Arial" w:cs="Arial"/>
                <w:b/>
                <w:sz w:val="24"/>
                <w:szCs w:val="24"/>
              </w:rPr>
            </w:pPr>
            <w:r w:rsidRPr="003011EC">
              <w:rPr>
                <w:rFonts w:ascii="Arial" w:hAnsi="Arial" w:cs="Arial"/>
                <w:sz w:val="24"/>
                <w:szCs w:val="24"/>
              </w:rPr>
              <w:t>(See Completion Notes</w:t>
            </w:r>
            <w:r>
              <w:rPr>
                <w:rFonts w:ascii="Arial" w:hAnsi="Arial" w:cs="Arial"/>
                <w:sz w:val="24"/>
                <w:szCs w:val="24"/>
              </w:rPr>
              <w:t xml:space="preserve"> at the end of this document</w:t>
            </w:r>
            <w:r w:rsidRPr="003011EC">
              <w:rPr>
                <w:rFonts w:ascii="Arial" w:hAnsi="Arial" w:cs="Arial"/>
                <w:sz w:val="24"/>
                <w:szCs w:val="24"/>
              </w:rPr>
              <w:t>)</w:t>
            </w:r>
          </w:p>
        </w:tc>
        <w:tc>
          <w:tcPr>
            <w:tcW w:w="5126" w:type="dxa"/>
          </w:tcPr>
          <w:p w:rsidR="003011EC" w:rsidRPr="00BC6F4A" w:rsidRDefault="00D73A00" w:rsidP="008C6BA4">
            <w:pPr>
              <w:rPr>
                <w:rFonts w:cs="Arial"/>
                <w:color w:val="FF0000"/>
                <w:szCs w:val="24"/>
              </w:rPr>
            </w:pPr>
            <w:r w:rsidRPr="00D73A00">
              <w:rPr>
                <w:rFonts w:cs="Arial"/>
                <w:szCs w:val="24"/>
              </w:rPr>
              <w:t xml:space="preserve"> Yes</w:t>
            </w:r>
            <w:r w:rsidR="00BC6F4A">
              <w:rPr>
                <w:rFonts w:cs="Arial"/>
                <w:szCs w:val="24"/>
              </w:rPr>
              <w:t>-</w:t>
            </w:r>
          </w:p>
          <w:p w:rsidR="003011EC" w:rsidRPr="00D73A00" w:rsidRDefault="002953DB" w:rsidP="006B4143">
            <w:pPr>
              <w:rPr>
                <w:rFonts w:cs="Arial"/>
                <w:szCs w:val="24"/>
              </w:rPr>
            </w:pPr>
            <w:r w:rsidRPr="002953DB">
              <w:rPr>
                <w:rFonts w:cs="Arial"/>
                <w:szCs w:val="24"/>
              </w:rPr>
              <w:t>Demographic data for Equality Groups</w:t>
            </w:r>
            <w:r w:rsidR="006B4143">
              <w:rPr>
                <w:rFonts w:cs="Arial"/>
                <w:szCs w:val="24"/>
              </w:rPr>
              <w:t xml:space="preserve"> – JSNA 2015 report</w:t>
            </w:r>
          </w:p>
        </w:tc>
      </w:tr>
      <w:tr w:rsidR="003011EC" w:rsidRPr="003011EC" w:rsidTr="00CE3D35">
        <w:tc>
          <w:tcPr>
            <w:tcW w:w="4621"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 List any Consultation e.g. with  employees, service users, Unions or members of the </w:t>
            </w:r>
            <w:r w:rsidR="00921790">
              <w:rPr>
                <w:rFonts w:ascii="Arial" w:hAnsi="Arial" w:cs="Arial"/>
                <w:b/>
                <w:sz w:val="24"/>
                <w:szCs w:val="24"/>
              </w:rPr>
              <w:t>public that has taken place in</w:t>
            </w:r>
            <w:r w:rsidRPr="003011EC">
              <w:rPr>
                <w:rFonts w:ascii="Arial" w:hAnsi="Arial" w:cs="Arial"/>
                <w:b/>
                <w:sz w:val="24"/>
                <w:szCs w:val="24"/>
              </w:rPr>
              <w:t xml:space="preserve"> the development or implementation of this policy, </w:t>
            </w:r>
            <w:r w:rsidR="00921790">
              <w:rPr>
                <w:rFonts w:ascii="Arial" w:hAnsi="Arial" w:cs="Arial"/>
                <w:b/>
                <w:sz w:val="24"/>
                <w:szCs w:val="24"/>
              </w:rPr>
              <w:t>project or function</w:t>
            </w:r>
          </w:p>
        </w:tc>
        <w:tc>
          <w:tcPr>
            <w:tcW w:w="5126" w:type="dxa"/>
          </w:tcPr>
          <w:p w:rsidR="003011EC" w:rsidRPr="008843B8" w:rsidRDefault="00D775A5" w:rsidP="002953DB">
            <w:pPr>
              <w:rPr>
                <w:rFonts w:cs="Arial"/>
                <w:noProof/>
                <w:szCs w:val="24"/>
                <w:lang w:eastAsia="en-GB"/>
              </w:rPr>
            </w:pPr>
            <w:r w:rsidRPr="008843B8">
              <w:rPr>
                <w:rFonts w:cs="Arial"/>
                <w:noProof/>
                <w:szCs w:val="24"/>
                <w:lang w:eastAsia="en-GB"/>
              </w:rPr>
              <w:t>A pilot study has already taken place</w:t>
            </w:r>
            <w:r w:rsidR="008843B8" w:rsidRPr="008843B8">
              <w:rPr>
                <w:rFonts w:cs="Arial"/>
              </w:rPr>
              <w:t xml:space="preserve"> successfully, by Dr Richard Wood in Bury Knowle Headache Clinic.</w:t>
            </w:r>
          </w:p>
          <w:p w:rsidR="008843B8" w:rsidRPr="00976A70" w:rsidRDefault="008843B8" w:rsidP="008843B8">
            <w:pPr>
              <w:rPr>
                <w:rFonts w:cs="Arial"/>
              </w:rPr>
            </w:pPr>
            <w:r>
              <w:rPr>
                <w:rFonts w:cs="Arial"/>
              </w:rPr>
              <w:t>This was</w:t>
            </w:r>
            <w:r w:rsidRPr="00976A70">
              <w:rPr>
                <w:rFonts w:cs="Arial"/>
              </w:rPr>
              <w:t xml:space="preserve"> funded </w:t>
            </w:r>
            <w:r>
              <w:rPr>
                <w:rFonts w:cs="Arial"/>
              </w:rPr>
              <w:t>by the Thames Valley SCN</w:t>
            </w:r>
            <w:r w:rsidRPr="00976A70">
              <w:rPr>
                <w:rFonts w:cs="Arial"/>
              </w:rPr>
              <w:t>. It identified three problems that we are seeking to improve upon in the proposed CCG pilot:</w:t>
            </w:r>
          </w:p>
          <w:p w:rsidR="008843B8" w:rsidRPr="00976A70" w:rsidRDefault="008843B8" w:rsidP="008843B8">
            <w:pPr>
              <w:pStyle w:val="ListParagraph"/>
              <w:numPr>
                <w:ilvl w:val="0"/>
                <w:numId w:val="10"/>
              </w:numPr>
              <w:spacing w:before="120" w:after="0" w:line="240" w:lineRule="auto"/>
            </w:pPr>
            <w:r w:rsidRPr="00976A70">
              <w:t xml:space="preserve">Confusion for patients as to the purpose of the clinic: </w:t>
            </w:r>
          </w:p>
          <w:p w:rsidR="008843B8" w:rsidRPr="00976A70" w:rsidRDefault="008843B8" w:rsidP="008843B8">
            <w:pPr>
              <w:pStyle w:val="ListParagraph"/>
              <w:numPr>
                <w:ilvl w:val="1"/>
                <w:numId w:val="10"/>
              </w:numPr>
              <w:spacing w:before="120" w:after="0" w:line="240" w:lineRule="auto"/>
            </w:pPr>
            <w:r w:rsidRPr="00976A70">
              <w:t xml:space="preserve">It was not listed on choose and book, and the referrer was not aware of its existence. There was therefore some confusion when patients were approached by the community clinic and offered an appointment. </w:t>
            </w:r>
          </w:p>
          <w:p w:rsidR="008843B8" w:rsidRPr="00976A70" w:rsidRDefault="008843B8" w:rsidP="008843B8">
            <w:pPr>
              <w:pStyle w:val="ListParagraph"/>
              <w:numPr>
                <w:ilvl w:val="1"/>
                <w:numId w:val="10"/>
              </w:numPr>
              <w:spacing w:before="120" w:after="0" w:line="240" w:lineRule="auto"/>
            </w:pPr>
            <w:r w:rsidRPr="00976A70">
              <w:t xml:space="preserve">The generic letters they received from Choose and Book did not match up with the appointment times they had </w:t>
            </w:r>
            <w:r w:rsidRPr="00976A70">
              <w:lastRenderedPageBreak/>
              <w:t>been offered at the clinic.</w:t>
            </w:r>
          </w:p>
          <w:p w:rsidR="008843B8" w:rsidRPr="00976A70" w:rsidRDefault="008843B8" w:rsidP="008843B8">
            <w:pPr>
              <w:pStyle w:val="ListParagraph"/>
              <w:numPr>
                <w:ilvl w:val="0"/>
                <w:numId w:val="10"/>
              </w:numPr>
              <w:spacing w:before="120" w:after="0" w:line="240" w:lineRule="auto"/>
            </w:pPr>
            <w:r w:rsidRPr="00976A70">
              <w:t xml:space="preserve">The flow of referral and other administrative information. </w:t>
            </w:r>
          </w:p>
          <w:p w:rsidR="008843B8" w:rsidRPr="00976A70" w:rsidRDefault="008843B8" w:rsidP="008843B8">
            <w:pPr>
              <w:pStyle w:val="ListParagraph"/>
              <w:numPr>
                <w:ilvl w:val="1"/>
                <w:numId w:val="10"/>
              </w:numPr>
              <w:spacing w:before="120" w:after="0" w:line="240" w:lineRule="auto"/>
            </w:pPr>
            <w:r w:rsidRPr="00976A70">
              <w:t>Referrals received from secondary care did not always have patient contact information on them. The community clinic was unaware of the level of detail and precise timing needed for secondary care to update the Choose and Book system as to patient progress.</w:t>
            </w:r>
          </w:p>
          <w:p w:rsidR="008843B8" w:rsidRPr="00976A70" w:rsidRDefault="008843B8" w:rsidP="008843B8">
            <w:pPr>
              <w:pStyle w:val="ListParagraph"/>
              <w:numPr>
                <w:ilvl w:val="0"/>
                <w:numId w:val="10"/>
              </w:numPr>
              <w:spacing w:before="120" w:after="0" w:line="240" w:lineRule="auto"/>
            </w:pPr>
            <w:r w:rsidRPr="00976A70">
              <w:t>The triage of enough referrals to fill all available slots.</w:t>
            </w:r>
          </w:p>
          <w:p w:rsidR="008843B8" w:rsidRDefault="008843B8" w:rsidP="008843B8">
            <w:pPr>
              <w:pStyle w:val="ListParagraph"/>
              <w:numPr>
                <w:ilvl w:val="1"/>
                <w:numId w:val="10"/>
              </w:numPr>
              <w:spacing w:before="120" w:after="0" w:line="240" w:lineRule="auto"/>
            </w:pPr>
            <w:r w:rsidRPr="00976A70">
              <w:t>Referrals were triaged to the community clinic by just two consultants, who only worked part time. Therefore, not enough referrals were received to fill all the available community slots.</w:t>
            </w:r>
          </w:p>
          <w:p w:rsidR="008843B8" w:rsidRPr="008843B8" w:rsidRDefault="008843B8" w:rsidP="008843B8">
            <w:pPr>
              <w:pStyle w:val="ListParagraph"/>
              <w:spacing w:before="120" w:after="0" w:line="240" w:lineRule="auto"/>
              <w:ind w:left="1440"/>
            </w:pPr>
          </w:p>
          <w:p w:rsidR="00AF75D6" w:rsidRPr="008843B8" w:rsidRDefault="008843B8" w:rsidP="002953DB">
            <w:pPr>
              <w:rPr>
                <w:rFonts w:cs="Arial"/>
                <w:sz w:val="24"/>
                <w:szCs w:val="24"/>
              </w:rPr>
            </w:pPr>
            <w:r w:rsidRPr="00976A70">
              <w:rPr>
                <w:rFonts w:cs="Arial"/>
                <w:szCs w:val="24"/>
              </w:rPr>
              <w:t>The above problems were as a result of poor integration of the community clinic with the rest of the neurology service. The CCG full business case will outline in detail the proposed solutions to the above problems</w:t>
            </w:r>
            <w:r>
              <w:rPr>
                <w:rFonts w:cs="Arial"/>
                <w:szCs w:val="24"/>
              </w:rPr>
              <w:t>.</w:t>
            </w:r>
          </w:p>
        </w:tc>
      </w:tr>
    </w:tbl>
    <w:p w:rsidR="003011EC" w:rsidRPr="003011EC" w:rsidRDefault="003011EC" w:rsidP="003011EC">
      <w:pPr>
        <w:rPr>
          <w:rFonts w:ascii="Arial" w:hAnsi="Arial" w:cs="Arial"/>
          <w:sz w:val="24"/>
          <w:szCs w:val="24"/>
        </w:rPr>
        <w:sectPr w:rsidR="003011EC" w:rsidRPr="003011EC" w:rsidSect="009220F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3305"/>
        <w:gridCol w:w="1225"/>
        <w:gridCol w:w="1275"/>
        <w:gridCol w:w="1400"/>
        <w:gridCol w:w="6969"/>
      </w:tblGrid>
      <w:tr w:rsidR="003011EC" w:rsidRPr="003011EC" w:rsidTr="006E656E">
        <w:tc>
          <w:tcPr>
            <w:tcW w:w="14174" w:type="dxa"/>
            <w:gridSpan w:val="5"/>
            <w:tcBorders>
              <w:bottom w:val="single" w:sz="4" w:space="0" w:color="auto"/>
            </w:tcBorders>
            <w:shd w:val="clear" w:color="auto" w:fill="DBE5F1" w:themeFill="accent1" w:themeFillTint="33"/>
          </w:tcPr>
          <w:p w:rsidR="003011EC" w:rsidRPr="003011EC" w:rsidRDefault="003011EC" w:rsidP="00994A6F">
            <w:pPr>
              <w:jc w:val="center"/>
              <w:rPr>
                <w:rFonts w:ascii="Arial" w:hAnsi="Arial" w:cs="Arial"/>
                <w:b/>
                <w:sz w:val="24"/>
                <w:szCs w:val="24"/>
              </w:rPr>
            </w:pPr>
            <w:r w:rsidRPr="003011EC">
              <w:rPr>
                <w:rFonts w:ascii="Arial" w:hAnsi="Arial" w:cs="Arial"/>
                <w:b/>
                <w:sz w:val="24"/>
                <w:szCs w:val="24"/>
              </w:rPr>
              <w:lastRenderedPageBreak/>
              <w:t xml:space="preserve">Equality </w:t>
            </w:r>
            <w:r w:rsidR="00BA7E78">
              <w:rPr>
                <w:rFonts w:ascii="Arial" w:hAnsi="Arial" w:cs="Arial"/>
                <w:b/>
                <w:sz w:val="24"/>
                <w:szCs w:val="24"/>
              </w:rPr>
              <w:t xml:space="preserve">Analysis </w:t>
            </w:r>
            <w:r w:rsidRPr="003011EC">
              <w:rPr>
                <w:rFonts w:ascii="Arial" w:hAnsi="Arial" w:cs="Arial"/>
                <w:b/>
                <w:sz w:val="24"/>
                <w:szCs w:val="24"/>
              </w:rPr>
              <w:t>Test:</w:t>
            </w:r>
          </w:p>
        </w:tc>
      </w:tr>
      <w:tr w:rsidR="003011EC" w:rsidRPr="003011EC" w:rsidTr="008C6BA4">
        <w:tc>
          <w:tcPr>
            <w:tcW w:w="14174" w:type="dxa"/>
            <w:gridSpan w:val="5"/>
            <w:tcBorders>
              <w:bottom w:val="single" w:sz="4" w:space="0" w:color="auto"/>
            </w:tcBorders>
            <w:shd w:val="pct12" w:color="auto" w:fill="auto"/>
          </w:tcPr>
          <w:p w:rsidR="003011EC" w:rsidRPr="003011EC" w:rsidRDefault="003011EC" w:rsidP="006E656E">
            <w:pPr>
              <w:rPr>
                <w:rFonts w:ascii="Arial" w:hAnsi="Arial" w:cs="Arial"/>
                <w:b/>
                <w:sz w:val="24"/>
                <w:szCs w:val="24"/>
              </w:rPr>
            </w:pPr>
            <w:r w:rsidRPr="003011EC">
              <w:rPr>
                <w:rFonts w:ascii="Arial" w:hAnsi="Arial" w:cs="Arial"/>
                <w:b/>
                <w:sz w:val="24"/>
                <w:szCs w:val="24"/>
              </w:rPr>
              <w:t>What impact will the implementation of this policy, project or function have</w:t>
            </w:r>
            <w:r w:rsidR="006E656E">
              <w:rPr>
                <w:rFonts w:ascii="Arial" w:hAnsi="Arial" w:cs="Arial"/>
                <w:b/>
                <w:sz w:val="24"/>
                <w:szCs w:val="24"/>
              </w:rPr>
              <w:t xml:space="preserve"> on employees, service </w:t>
            </w:r>
            <w:r w:rsidRPr="003011EC">
              <w:rPr>
                <w:rFonts w:ascii="Arial" w:hAnsi="Arial" w:cs="Arial"/>
                <w:b/>
                <w:sz w:val="24"/>
                <w:szCs w:val="24"/>
              </w:rPr>
              <w:t xml:space="preserve">users or other people who share characteristics protected by </w:t>
            </w:r>
            <w:r w:rsidRPr="003011EC">
              <w:rPr>
                <w:rFonts w:ascii="Arial" w:hAnsi="Arial" w:cs="Arial"/>
                <w:b/>
                <w:i/>
                <w:sz w:val="24"/>
                <w:szCs w:val="24"/>
              </w:rPr>
              <w:t>The Equality Act 2010</w:t>
            </w:r>
            <w:r w:rsidRPr="003011EC">
              <w:rPr>
                <w:rFonts w:ascii="Arial" w:hAnsi="Arial" w:cs="Arial"/>
                <w:b/>
                <w:sz w:val="24"/>
                <w:szCs w:val="24"/>
              </w:rPr>
              <w:t>?</w:t>
            </w:r>
          </w:p>
        </w:tc>
      </w:tr>
      <w:tr w:rsidR="006E656E" w:rsidRPr="003011EC" w:rsidTr="006E656E">
        <w:trPr>
          <w:trHeight w:val="605"/>
        </w:trPr>
        <w:tc>
          <w:tcPr>
            <w:tcW w:w="3305" w:type="dxa"/>
            <w:shd w:val="clear"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Protected Characteristic: </w:t>
            </w:r>
          </w:p>
        </w:tc>
        <w:tc>
          <w:tcPr>
            <w:tcW w:w="1225" w:type="dxa"/>
            <w:shd w:val="clear" w:color="auto" w:fill="auto"/>
          </w:tcPr>
          <w:p w:rsidR="003011EC" w:rsidRPr="003011EC" w:rsidRDefault="003011EC" w:rsidP="006E656E">
            <w:pPr>
              <w:rPr>
                <w:rFonts w:ascii="Arial" w:hAnsi="Arial" w:cs="Arial"/>
                <w:b/>
                <w:sz w:val="24"/>
                <w:szCs w:val="24"/>
              </w:rPr>
            </w:pPr>
            <w:r w:rsidRPr="003011EC">
              <w:rPr>
                <w:rFonts w:ascii="Arial" w:hAnsi="Arial" w:cs="Arial"/>
                <w:b/>
                <w:sz w:val="24"/>
                <w:szCs w:val="24"/>
              </w:rPr>
              <w:t>Neutral</w:t>
            </w:r>
            <w:r w:rsidR="006E656E">
              <w:rPr>
                <w:rFonts w:ascii="Arial" w:hAnsi="Arial" w:cs="Arial"/>
                <w:b/>
                <w:sz w:val="24"/>
                <w:szCs w:val="24"/>
              </w:rPr>
              <w:t xml:space="preserve"> </w:t>
            </w:r>
            <w:r w:rsidRPr="003011EC">
              <w:rPr>
                <w:rFonts w:ascii="Arial" w:hAnsi="Arial" w:cs="Arial"/>
                <w:b/>
                <w:sz w:val="24"/>
                <w:szCs w:val="24"/>
              </w:rPr>
              <w:t>Impact:</w:t>
            </w:r>
          </w:p>
        </w:tc>
        <w:tc>
          <w:tcPr>
            <w:tcW w:w="1275" w:type="dxa"/>
            <w:shd w:val="clear"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Positive</w:t>
            </w:r>
            <w:r w:rsidR="006E656E">
              <w:rPr>
                <w:rFonts w:ascii="Arial" w:hAnsi="Arial" w:cs="Arial"/>
                <w:b/>
                <w:sz w:val="24"/>
                <w:szCs w:val="24"/>
              </w:rPr>
              <w:t xml:space="preserve"> </w:t>
            </w:r>
            <w:r w:rsidRPr="003011EC">
              <w:rPr>
                <w:rFonts w:ascii="Arial" w:hAnsi="Arial" w:cs="Arial"/>
                <w:b/>
                <w:sz w:val="24"/>
                <w:szCs w:val="24"/>
              </w:rPr>
              <w:t xml:space="preserve">Impact: </w:t>
            </w:r>
          </w:p>
        </w:tc>
        <w:tc>
          <w:tcPr>
            <w:tcW w:w="1400" w:type="dxa"/>
            <w:shd w:val="clear" w:color="auto" w:fill="auto"/>
          </w:tcPr>
          <w:p w:rsidR="003011EC" w:rsidRPr="003011EC" w:rsidRDefault="006E656E" w:rsidP="006E656E">
            <w:pPr>
              <w:rPr>
                <w:rFonts w:ascii="Arial" w:hAnsi="Arial" w:cs="Arial"/>
                <w:b/>
                <w:sz w:val="24"/>
                <w:szCs w:val="24"/>
              </w:rPr>
            </w:pPr>
            <w:r>
              <w:rPr>
                <w:rFonts w:ascii="Arial" w:hAnsi="Arial" w:cs="Arial"/>
                <w:b/>
                <w:sz w:val="24"/>
                <w:szCs w:val="24"/>
              </w:rPr>
              <w:t>N</w:t>
            </w:r>
            <w:r w:rsidR="003011EC" w:rsidRPr="003011EC">
              <w:rPr>
                <w:rFonts w:ascii="Arial" w:hAnsi="Arial" w:cs="Arial"/>
                <w:b/>
                <w:sz w:val="24"/>
                <w:szCs w:val="24"/>
              </w:rPr>
              <w:t>egative</w:t>
            </w:r>
            <w:r>
              <w:rPr>
                <w:rFonts w:ascii="Arial" w:hAnsi="Arial" w:cs="Arial"/>
                <w:b/>
                <w:sz w:val="24"/>
                <w:szCs w:val="24"/>
              </w:rPr>
              <w:t xml:space="preserve"> </w:t>
            </w:r>
            <w:r w:rsidR="003011EC" w:rsidRPr="003011EC">
              <w:rPr>
                <w:rFonts w:ascii="Arial" w:hAnsi="Arial" w:cs="Arial"/>
                <w:b/>
                <w:sz w:val="24"/>
                <w:szCs w:val="24"/>
              </w:rPr>
              <w:t xml:space="preserve">Impact: </w:t>
            </w:r>
          </w:p>
        </w:tc>
        <w:tc>
          <w:tcPr>
            <w:tcW w:w="6969" w:type="dxa"/>
            <w:shd w:val="clear" w:color="auto" w:fill="auto"/>
          </w:tcPr>
          <w:p w:rsidR="003011EC" w:rsidRPr="003011EC" w:rsidRDefault="003011EC" w:rsidP="006E656E">
            <w:pPr>
              <w:rPr>
                <w:rFonts w:ascii="Arial" w:hAnsi="Arial" w:cs="Arial"/>
                <w:sz w:val="24"/>
                <w:szCs w:val="24"/>
              </w:rPr>
            </w:pPr>
            <w:r w:rsidRPr="003011EC">
              <w:rPr>
                <w:rFonts w:ascii="Arial" w:hAnsi="Arial" w:cs="Arial"/>
                <w:b/>
                <w:sz w:val="24"/>
                <w:szCs w:val="24"/>
              </w:rPr>
              <w:t xml:space="preserve">Evidence of impact and if applicable, justification where a </w:t>
            </w:r>
            <w:r w:rsidRPr="003011EC">
              <w:rPr>
                <w:rFonts w:ascii="Arial" w:hAnsi="Arial" w:cs="Arial"/>
                <w:b/>
                <w:i/>
                <w:sz w:val="24"/>
                <w:szCs w:val="24"/>
              </w:rPr>
              <w:t>Genuine Determining Reason</w:t>
            </w:r>
            <w:r w:rsidRPr="003011EC">
              <w:rPr>
                <w:rFonts w:ascii="Arial" w:hAnsi="Arial" w:cs="Arial"/>
                <w:b/>
                <w:sz w:val="24"/>
                <w:szCs w:val="24"/>
              </w:rPr>
              <w:t xml:space="preserve"> exists </w:t>
            </w:r>
            <w:r w:rsidRPr="003011EC">
              <w:rPr>
                <w:rFonts w:ascii="Arial" w:hAnsi="Arial" w:cs="Arial"/>
                <w:sz w:val="24"/>
                <w:szCs w:val="24"/>
              </w:rPr>
              <w:t xml:space="preserve"> </w:t>
            </w:r>
          </w:p>
        </w:tc>
      </w:tr>
      <w:tr w:rsidR="006E656E" w:rsidRPr="003011EC" w:rsidTr="008C6BA4">
        <w:tc>
          <w:tcPr>
            <w:tcW w:w="3305" w:type="dxa"/>
            <w:shd w:val="pct12" w:color="auto" w:fill="auto"/>
          </w:tcPr>
          <w:p w:rsidR="003011EC" w:rsidRPr="003011EC" w:rsidRDefault="003011EC" w:rsidP="008C6BA4">
            <w:pPr>
              <w:rPr>
                <w:rFonts w:ascii="Arial" w:hAnsi="Arial" w:cs="Arial"/>
                <w:sz w:val="24"/>
                <w:szCs w:val="24"/>
              </w:rPr>
            </w:pPr>
            <w:r w:rsidRPr="003011EC">
              <w:rPr>
                <w:rFonts w:ascii="Arial" w:hAnsi="Arial" w:cs="Arial"/>
                <w:b/>
                <w:sz w:val="24"/>
                <w:szCs w:val="24"/>
              </w:rPr>
              <w:t xml:space="preserve">Gender </w:t>
            </w:r>
            <w:r w:rsidRPr="003011EC">
              <w:rPr>
                <w:rFonts w:ascii="Arial" w:hAnsi="Arial" w:cs="Arial"/>
                <w:sz w:val="24"/>
                <w:szCs w:val="24"/>
              </w:rPr>
              <w:t xml:space="preserve">(Men and Women) </w:t>
            </w:r>
          </w:p>
          <w:p w:rsidR="003011EC" w:rsidRPr="003011EC" w:rsidRDefault="003011EC" w:rsidP="008C6BA4">
            <w:pPr>
              <w:rPr>
                <w:rFonts w:ascii="Arial" w:hAnsi="Arial" w:cs="Arial"/>
                <w:sz w:val="24"/>
                <w:szCs w:val="24"/>
              </w:rPr>
            </w:pPr>
            <w:r w:rsidRPr="003011EC">
              <w:rPr>
                <w:rFonts w:ascii="Arial" w:hAnsi="Arial" w:cs="Arial"/>
                <w:b/>
                <w:sz w:val="24"/>
                <w:szCs w:val="24"/>
              </w:rPr>
              <w:t xml:space="preserve">  </w:t>
            </w:r>
          </w:p>
        </w:tc>
        <w:tc>
          <w:tcPr>
            <w:tcW w:w="1225" w:type="dxa"/>
            <w:shd w:val="pct5" w:color="auto" w:fill="auto"/>
          </w:tcPr>
          <w:p w:rsidR="003011EC" w:rsidRPr="003011EC" w:rsidRDefault="003011EC" w:rsidP="00966F65">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93D1A" w:rsidP="008D0D1F">
            <w:pPr>
              <w:jc w:val="center"/>
              <w:rPr>
                <w:rFonts w:ascii="Arial" w:hAnsi="Arial" w:cs="Arial"/>
                <w:sz w:val="24"/>
                <w:szCs w:val="24"/>
              </w:rPr>
            </w:pPr>
            <w:r w:rsidRPr="00E37EFA">
              <w:rPr>
                <w:rFonts w:ascii="Arial" w:hAnsi="Arial" w:cs="Arial"/>
                <w:sz w:val="24"/>
                <w:szCs w:val="24"/>
              </w:rPr>
              <w:sym w:font="Wingdings" w:char="F0FC"/>
            </w:r>
          </w:p>
        </w:tc>
        <w:tc>
          <w:tcPr>
            <w:tcW w:w="6969" w:type="dxa"/>
          </w:tcPr>
          <w:p w:rsidR="00966F65" w:rsidRPr="003845AC" w:rsidRDefault="00966F65" w:rsidP="00966F65">
            <w:pPr>
              <w:ind w:right="379"/>
              <w:rPr>
                <w:szCs w:val="24"/>
              </w:rPr>
            </w:pPr>
            <w:r w:rsidRPr="003845AC">
              <w:rPr>
                <w:szCs w:val="24"/>
              </w:rPr>
              <w:t xml:space="preserve">The proposed eligibility </w:t>
            </w:r>
            <w:r w:rsidR="008D0D1F" w:rsidRPr="003845AC">
              <w:rPr>
                <w:szCs w:val="24"/>
              </w:rPr>
              <w:t xml:space="preserve">criteria for access to </w:t>
            </w:r>
            <w:r w:rsidR="008D0D1F">
              <w:rPr>
                <w:szCs w:val="24"/>
              </w:rPr>
              <w:t>the pathway</w:t>
            </w:r>
            <w:r w:rsidR="008D0D1F" w:rsidRPr="003845AC">
              <w:rPr>
                <w:szCs w:val="24"/>
              </w:rPr>
              <w:t xml:space="preserve"> do</w:t>
            </w:r>
            <w:r w:rsidRPr="003845AC">
              <w:rPr>
                <w:szCs w:val="24"/>
              </w:rPr>
              <w:t xml:space="preserve"> not assess eligibility based on gender.</w:t>
            </w:r>
            <w:r w:rsidR="00D5020B">
              <w:rPr>
                <w:szCs w:val="24"/>
              </w:rPr>
              <w:t xml:space="preserve"> No evidence of adverse or more favourable impact identified. </w:t>
            </w:r>
          </w:p>
          <w:p w:rsidR="003011EC" w:rsidRPr="005F4AD3" w:rsidRDefault="005F4AD3" w:rsidP="008C6BA4">
            <w:pPr>
              <w:rPr>
                <w:rFonts w:cs="Arial"/>
                <w:sz w:val="24"/>
                <w:szCs w:val="24"/>
              </w:rPr>
            </w:pPr>
            <w:r w:rsidRPr="005F4AD3">
              <w:rPr>
                <w:rFonts w:cs="Arial"/>
                <w:szCs w:val="24"/>
              </w:rPr>
              <w:t>(Some women may be adversely affected</w:t>
            </w:r>
            <w:r w:rsidR="008D0D1F">
              <w:rPr>
                <w:rFonts w:cs="Arial"/>
                <w:szCs w:val="24"/>
              </w:rPr>
              <w:t xml:space="preserve"> indirectly</w:t>
            </w:r>
            <w:r w:rsidRPr="005F4AD3">
              <w:rPr>
                <w:rFonts w:cs="Arial"/>
                <w:szCs w:val="24"/>
              </w:rPr>
              <w:t xml:space="preserve"> due to pregnancy, please see pregnancy characteristic for more details)</w:t>
            </w:r>
          </w:p>
        </w:tc>
      </w:tr>
      <w:tr w:rsidR="006E656E" w:rsidRPr="003011EC" w:rsidTr="008C6BA4">
        <w:tc>
          <w:tcPr>
            <w:tcW w:w="3305" w:type="dxa"/>
            <w:tcBorders>
              <w:bottom w:val="single" w:sz="4" w:space="0" w:color="auto"/>
            </w:tcBorders>
            <w:shd w:val="pct12" w:color="auto" w:fill="auto"/>
          </w:tcPr>
          <w:p w:rsidR="003011EC" w:rsidRPr="003011EC" w:rsidRDefault="003011EC" w:rsidP="008C6BA4">
            <w:pPr>
              <w:rPr>
                <w:rFonts w:ascii="Arial" w:hAnsi="Arial" w:cs="Arial"/>
                <w:sz w:val="24"/>
                <w:szCs w:val="24"/>
              </w:rPr>
            </w:pPr>
            <w:r w:rsidRPr="003011EC">
              <w:rPr>
                <w:rFonts w:ascii="Arial" w:hAnsi="Arial" w:cs="Arial"/>
                <w:sz w:val="24"/>
                <w:szCs w:val="24"/>
              </w:rPr>
              <w:br w:type="page"/>
            </w:r>
            <w:r w:rsidRPr="003011EC">
              <w:rPr>
                <w:rFonts w:ascii="Arial" w:hAnsi="Arial" w:cs="Arial"/>
                <w:sz w:val="24"/>
                <w:szCs w:val="24"/>
              </w:rPr>
              <w:br w:type="page"/>
            </w:r>
            <w:r w:rsidRPr="003011EC">
              <w:rPr>
                <w:rFonts w:ascii="Arial" w:hAnsi="Arial" w:cs="Arial"/>
                <w:b/>
                <w:sz w:val="24"/>
                <w:szCs w:val="24"/>
              </w:rPr>
              <w:t xml:space="preserve">Race </w:t>
            </w:r>
            <w:r w:rsidRPr="003011EC">
              <w:rPr>
                <w:rFonts w:ascii="Arial" w:hAnsi="Arial" w:cs="Arial"/>
                <w:sz w:val="24"/>
                <w:szCs w:val="24"/>
              </w:rPr>
              <w:t xml:space="preserve">(All Racial Groups)  </w:t>
            </w:r>
          </w:p>
          <w:p w:rsidR="003011EC" w:rsidRPr="003011EC" w:rsidRDefault="003011EC" w:rsidP="008C6BA4">
            <w:pPr>
              <w:rPr>
                <w:rFonts w:ascii="Arial" w:hAnsi="Arial" w:cs="Arial"/>
                <w:sz w:val="24"/>
                <w:szCs w:val="24"/>
              </w:rPr>
            </w:pPr>
            <w:r w:rsidRPr="003011EC">
              <w:rPr>
                <w:rFonts w:ascii="Arial" w:hAnsi="Arial" w:cs="Arial"/>
                <w:b/>
                <w:sz w:val="24"/>
                <w:szCs w:val="24"/>
              </w:rPr>
              <w:t xml:space="preserve">  </w:t>
            </w:r>
          </w:p>
        </w:tc>
        <w:tc>
          <w:tcPr>
            <w:tcW w:w="1225" w:type="dxa"/>
            <w:tcBorders>
              <w:bottom w:val="single" w:sz="4" w:space="0" w:color="auto"/>
            </w:tcBorders>
            <w:shd w:val="pct5" w:color="auto" w:fill="auto"/>
          </w:tcPr>
          <w:p w:rsidR="003011EC" w:rsidRPr="003011EC" w:rsidRDefault="003011EC" w:rsidP="00966F65">
            <w:pPr>
              <w:jc w:val="center"/>
              <w:rPr>
                <w:rFonts w:ascii="Arial" w:hAnsi="Arial" w:cs="Arial"/>
                <w:sz w:val="24"/>
                <w:szCs w:val="24"/>
              </w:rPr>
            </w:pPr>
          </w:p>
        </w:tc>
        <w:tc>
          <w:tcPr>
            <w:tcW w:w="1275" w:type="dxa"/>
            <w:tcBorders>
              <w:bottom w:val="single" w:sz="4" w:space="0" w:color="auto"/>
            </w:tcBorders>
            <w:shd w:val="pct5" w:color="auto" w:fill="auto"/>
          </w:tcPr>
          <w:p w:rsidR="003011EC" w:rsidRPr="003011EC" w:rsidRDefault="003011EC" w:rsidP="008C6BA4">
            <w:pPr>
              <w:rPr>
                <w:rFonts w:ascii="Arial" w:hAnsi="Arial" w:cs="Arial"/>
                <w:sz w:val="24"/>
                <w:szCs w:val="24"/>
              </w:rPr>
            </w:pPr>
          </w:p>
        </w:tc>
        <w:tc>
          <w:tcPr>
            <w:tcW w:w="1400" w:type="dxa"/>
            <w:tcBorders>
              <w:bottom w:val="single" w:sz="4" w:space="0" w:color="auto"/>
            </w:tcBorders>
            <w:shd w:val="pct5" w:color="auto" w:fill="auto"/>
          </w:tcPr>
          <w:p w:rsidR="003011EC" w:rsidRPr="003011EC" w:rsidRDefault="001F5F1D" w:rsidP="001F5F1D">
            <w:pPr>
              <w:jc w:val="center"/>
              <w:rPr>
                <w:rFonts w:ascii="Arial" w:hAnsi="Arial" w:cs="Arial"/>
                <w:sz w:val="24"/>
                <w:szCs w:val="24"/>
              </w:rPr>
            </w:pPr>
            <w:r w:rsidRPr="00E37EFA">
              <w:rPr>
                <w:rFonts w:ascii="Arial" w:hAnsi="Arial" w:cs="Arial"/>
                <w:sz w:val="24"/>
                <w:szCs w:val="24"/>
              </w:rPr>
              <w:sym w:font="Wingdings" w:char="F0FC"/>
            </w:r>
          </w:p>
        </w:tc>
        <w:tc>
          <w:tcPr>
            <w:tcW w:w="6969" w:type="dxa"/>
            <w:tcBorders>
              <w:bottom w:val="single" w:sz="4" w:space="0" w:color="auto"/>
            </w:tcBorders>
          </w:tcPr>
          <w:p w:rsidR="00966F65" w:rsidRPr="003845AC" w:rsidRDefault="00966F65" w:rsidP="00966F65">
            <w:pPr>
              <w:ind w:right="379"/>
              <w:rPr>
                <w:szCs w:val="24"/>
              </w:rPr>
            </w:pPr>
            <w:r w:rsidRPr="003845AC">
              <w:rPr>
                <w:szCs w:val="24"/>
              </w:rPr>
              <w:t>The proposals make no distinction based on race.  However, this consultation is mindful that there are certain health inequalities in relation to race that may be disproportionat</w:t>
            </w:r>
            <w:r>
              <w:rPr>
                <w:szCs w:val="24"/>
              </w:rPr>
              <w:t>ely and indirectly impacted on.</w:t>
            </w:r>
          </w:p>
          <w:p w:rsidR="00966F65" w:rsidRPr="003845AC" w:rsidRDefault="00966F65" w:rsidP="00966F65">
            <w:pPr>
              <w:ind w:right="379"/>
              <w:rPr>
                <w:szCs w:val="24"/>
              </w:rPr>
            </w:pPr>
            <w:r>
              <w:rPr>
                <w:szCs w:val="24"/>
              </w:rPr>
              <w:t>Language can be</w:t>
            </w:r>
            <w:r w:rsidRPr="003845AC">
              <w:rPr>
                <w:szCs w:val="24"/>
              </w:rPr>
              <w:t xml:space="preserve"> a potential barrier to a</w:t>
            </w:r>
            <w:r>
              <w:rPr>
                <w:szCs w:val="24"/>
              </w:rPr>
              <w:t>ccess for many people within this</w:t>
            </w:r>
            <w:r w:rsidRPr="003845AC">
              <w:rPr>
                <w:szCs w:val="24"/>
              </w:rPr>
              <w:t xml:space="preserve"> group.</w:t>
            </w:r>
            <w:r>
              <w:rPr>
                <w:szCs w:val="24"/>
              </w:rPr>
              <w:t xml:space="preserve"> </w:t>
            </w:r>
            <w:r w:rsidRPr="003845AC">
              <w:rPr>
                <w:szCs w:val="24"/>
              </w:rPr>
              <w:t>Just over 9% of households in Oxford do not have any one member who spea</w:t>
            </w:r>
            <w:r>
              <w:rPr>
                <w:szCs w:val="24"/>
              </w:rPr>
              <w:t xml:space="preserve">ks English as a main language. </w:t>
            </w:r>
            <w:r w:rsidRPr="003845AC">
              <w:rPr>
                <w:szCs w:val="24"/>
              </w:rPr>
              <w:t>This is over double the fig</w:t>
            </w:r>
            <w:r>
              <w:rPr>
                <w:szCs w:val="24"/>
              </w:rPr>
              <w:t>ure for the country as a whole.</w:t>
            </w:r>
          </w:p>
          <w:p w:rsidR="003011EC" w:rsidRDefault="00966F65" w:rsidP="00966F65">
            <w:pPr>
              <w:ind w:right="379"/>
              <w:rPr>
                <w:szCs w:val="24"/>
              </w:rPr>
            </w:pPr>
            <w:r>
              <w:rPr>
                <w:szCs w:val="24"/>
              </w:rPr>
              <w:t xml:space="preserve">To mitigate the risk of inequality for this group of patients, </w:t>
            </w:r>
            <w:r w:rsidRPr="003845AC">
              <w:rPr>
                <w:szCs w:val="24"/>
              </w:rPr>
              <w:t xml:space="preserve">Staff </w:t>
            </w:r>
            <w:proofErr w:type="gramStart"/>
            <w:r w:rsidRPr="003845AC">
              <w:rPr>
                <w:szCs w:val="24"/>
              </w:rPr>
              <w:t>need</w:t>
            </w:r>
            <w:proofErr w:type="gramEnd"/>
            <w:r w:rsidRPr="003845AC">
              <w:rPr>
                <w:szCs w:val="24"/>
              </w:rPr>
              <w:t xml:space="preserve"> to</w:t>
            </w:r>
            <w:r>
              <w:rPr>
                <w:szCs w:val="24"/>
              </w:rPr>
              <w:t xml:space="preserve"> be proficient in the</w:t>
            </w:r>
            <w:r w:rsidRPr="003845AC">
              <w:rPr>
                <w:szCs w:val="24"/>
              </w:rPr>
              <w:t xml:space="preserve"> use</w:t>
            </w:r>
            <w:r>
              <w:rPr>
                <w:szCs w:val="24"/>
              </w:rPr>
              <w:t xml:space="preserve"> of</w:t>
            </w:r>
            <w:r w:rsidRPr="003845AC">
              <w:rPr>
                <w:szCs w:val="24"/>
              </w:rPr>
              <w:t xml:space="preserve"> the </w:t>
            </w:r>
            <w:r w:rsidR="00393D1A">
              <w:rPr>
                <w:szCs w:val="24"/>
              </w:rPr>
              <w:t xml:space="preserve">telephony interpreting service. </w:t>
            </w:r>
            <w:r>
              <w:rPr>
                <w:szCs w:val="24"/>
              </w:rPr>
              <w:t xml:space="preserve">All staff </w:t>
            </w:r>
            <w:proofErr w:type="gramStart"/>
            <w:r>
              <w:rPr>
                <w:szCs w:val="24"/>
              </w:rPr>
              <w:t>who</w:t>
            </w:r>
            <w:proofErr w:type="gramEnd"/>
            <w:r>
              <w:rPr>
                <w:szCs w:val="24"/>
              </w:rPr>
              <w:t xml:space="preserve"> are not familiar with using this service will be given advice/ training on how to access it.</w:t>
            </w:r>
          </w:p>
          <w:p w:rsidR="001F5F1D" w:rsidRPr="00AF75D6" w:rsidRDefault="001E7B16" w:rsidP="00966F65">
            <w:pPr>
              <w:ind w:right="379"/>
              <w:rPr>
                <w:color w:val="FF0000"/>
                <w:szCs w:val="24"/>
              </w:rPr>
            </w:pPr>
            <w:r w:rsidRPr="001E7B16">
              <w:rPr>
                <w:szCs w:val="24"/>
              </w:rPr>
              <w:t>Any written</w:t>
            </w:r>
            <w:r w:rsidR="001F5F1D" w:rsidRPr="001E7B16">
              <w:rPr>
                <w:szCs w:val="24"/>
              </w:rPr>
              <w:t xml:space="preserve"> materials</w:t>
            </w:r>
            <w:r w:rsidRPr="001E7B16">
              <w:rPr>
                <w:szCs w:val="24"/>
              </w:rPr>
              <w:t xml:space="preserve"> will also be a</w:t>
            </w:r>
            <w:r w:rsidR="00AF75D6">
              <w:rPr>
                <w:szCs w:val="24"/>
              </w:rPr>
              <w:t xml:space="preserve">vailable in different languages, </w:t>
            </w:r>
            <w:r w:rsidR="00AF75D6" w:rsidRPr="006B4DFF">
              <w:rPr>
                <w:szCs w:val="24"/>
              </w:rPr>
              <w:t xml:space="preserve">if </w:t>
            </w:r>
            <w:r w:rsidR="00AF75D6" w:rsidRPr="006B4DFF">
              <w:rPr>
                <w:szCs w:val="24"/>
              </w:rPr>
              <w:lastRenderedPageBreak/>
              <w:t>appropriate</w:t>
            </w:r>
          </w:p>
          <w:p w:rsidR="001F5F1D" w:rsidRPr="001F5F1D" w:rsidRDefault="00927177" w:rsidP="00927177">
            <w:pPr>
              <w:ind w:right="379"/>
              <w:rPr>
                <w:color w:val="FF0000"/>
                <w:szCs w:val="24"/>
              </w:rPr>
            </w:pPr>
            <w:r w:rsidRPr="00927177">
              <w:rPr>
                <w:szCs w:val="24"/>
              </w:rPr>
              <w:t>The standard NHS contract applies to this pathway project and</w:t>
            </w:r>
            <w:r w:rsidR="001F5F1D" w:rsidRPr="00927177">
              <w:rPr>
                <w:szCs w:val="24"/>
              </w:rPr>
              <w:t xml:space="preserve"> so, there is an E</w:t>
            </w:r>
            <w:r w:rsidRPr="00927177">
              <w:rPr>
                <w:szCs w:val="24"/>
              </w:rPr>
              <w:t xml:space="preserve">qualities </w:t>
            </w:r>
            <w:r w:rsidR="001F5F1D" w:rsidRPr="00927177">
              <w:rPr>
                <w:szCs w:val="24"/>
              </w:rPr>
              <w:t>&amp;</w:t>
            </w:r>
            <w:r w:rsidRPr="00927177">
              <w:rPr>
                <w:szCs w:val="24"/>
              </w:rPr>
              <w:t xml:space="preserve"> </w:t>
            </w:r>
            <w:r w:rsidR="001F5F1D" w:rsidRPr="00927177">
              <w:rPr>
                <w:szCs w:val="24"/>
              </w:rPr>
              <w:t>D</w:t>
            </w:r>
            <w:r w:rsidRPr="00927177">
              <w:rPr>
                <w:szCs w:val="24"/>
              </w:rPr>
              <w:t>iversity</w:t>
            </w:r>
            <w:r w:rsidR="001F5F1D" w:rsidRPr="00927177">
              <w:rPr>
                <w:szCs w:val="24"/>
              </w:rPr>
              <w:t xml:space="preserve"> section</w:t>
            </w:r>
            <w:r w:rsidRPr="00927177">
              <w:rPr>
                <w:szCs w:val="24"/>
              </w:rPr>
              <w:t xml:space="preserve"> (SC13)</w:t>
            </w:r>
            <w:r w:rsidR="001F5F1D" w:rsidRPr="00927177">
              <w:rPr>
                <w:szCs w:val="24"/>
              </w:rPr>
              <w:t xml:space="preserve"> which providers must comply with</w:t>
            </w:r>
          </w:p>
        </w:tc>
      </w:tr>
      <w:tr w:rsidR="006E656E" w:rsidRPr="003011EC" w:rsidTr="008C6BA4">
        <w:tc>
          <w:tcPr>
            <w:tcW w:w="3305" w:type="dxa"/>
            <w:shd w:val="pct12" w:color="auto" w:fill="auto"/>
          </w:tcPr>
          <w:p w:rsidR="003011EC" w:rsidRPr="003011EC" w:rsidRDefault="006E656E" w:rsidP="008C6BA4">
            <w:pPr>
              <w:rPr>
                <w:rFonts w:ascii="Arial" w:hAnsi="Arial" w:cs="Arial"/>
                <w:sz w:val="24"/>
                <w:szCs w:val="24"/>
              </w:rPr>
            </w:pPr>
            <w:r>
              <w:rPr>
                <w:rFonts w:ascii="Arial" w:hAnsi="Arial" w:cs="Arial"/>
                <w:b/>
                <w:sz w:val="24"/>
                <w:szCs w:val="24"/>
              </w:rPr>
              <w:lastRenderedPageBreak/>
              <w:t>Disability</w:t>
            </w:r>
            <w:r w:rsidR="003011EC" w:rsidRPr="003011EC">
              <w:rPr>
                <w:rFonts w:ascii="Arial" w:hAnsi="Arial" w:cs="Arial"/>
                <w:sz w:val="24"/>
                <w:szCs w:val="24"/>
              </w:rPr>
              <w:t xml:space="preserve"> (Mental, Physical</w:t>
            </w:r>
            <w:r w:rsidR="003262C1">
              <w:rPr>
                <w:rFonts w:ascii="Arial" w:hAnsi="Arial" w:cs="Arial"/>
                <w:sz w:val="24"/>
                <w:szCs w:val="24"/>
              </w:rPr>
              <w:t>, Learning Disability and sensory disability</w:t>
            </w:r>
            <w:r w:rsidR="003011EC" w:rsidRPr="003011EC">
              <w:rPr>
                <w:rFonts w:ascii="Arial" w:hAnsi="Arial" w:cs="Arial"/>
                <w:sz w:val="24"/>
                <w:szCs w:val="24"/>
              </w:rPr>
              <w:t xml:space="preserve">)  </w:t>
            </w:r>
          </w:p>
        </w:tc>
        <w:tc>
          <w:tcPr>
            <w:tcW w:w="1225" w:type="dxa"/>
            <w:shd w:val="pct5" w:color="auto" w:fill="auto"/>
          </w:tcPr>
          <w:p w:rsidR="003011EC" w:rsidRPr="003011EC" w:rsidRDefault="00E62893" w:rsidP="00E62893">
            <w:pPr>
              <w:jc w:val="center"/>
              <w:rPr>
                <w:rFonts w:ascii="Arial" w:hAnsi="Arial" w:cs="Arial"/>
                <w:sz w:val="24"/>
                <w:szCs w:val="24"/>
              </w:rPr>
            </w:pPr>
            <w:r>
              <w:rPr>
                <w:rFonts w:ascii="Arial" w:hAnsi="Arial" w:cs="Arial"/>
                <w:sz w:val="24"/>
                <w:szCs w:val="24"/>
              </w:rPr>
              <w:sym w:font="Wingdings" w:char="F0FC"/>
            </w: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011EC" w:rsidP="008C6BA4">
            <w:pPr>
              <w:rPr>
                <w:rFonts w:ascii="Arial" w:hAnsi="Arial" w:cs="Arial"/>
                <w:sz w:val="24"/>
                <w:szCs w:val="24"/>
              </w:rPr>
            </w:pPr>
          </w:p>
        </w:tc>
        <w:tc>
          <w:tcPr>
            <w:tcW w:w="6969" w:type="dxa"/>
          </w:tcPr>
          <w:p w:rsidR="003011EC" w:rsidRPr="00AF75D6" w:rsidRDefault="001E7B16" w:rsidP="00B63265">
            <w:pPr>
              <w:ind w:right="379"/>
              <w:rPr>
                <w:color w:val="FF0000"/>
              </w:rPr>
            </w:pPr>
            <w:r w:rsidRPr="00F33411">
              <w:t xml:space="preserve">All </w:t>
            </w:r>
            <w:r w:rsidR="00B63265" w:rsidRPr="00F33411">
              <w:t>headache clinic</w:t>
            </w:r>
            <w:r w:rsidRPr="00F33411">
              <w:t xml:space="preserve"> locations are accessible by wheelchair with disabled parking facilities.</w:t>
            </w:r>
            <w:r w:rsidR="00F33411" w:rsidRPr="00F33411">
              <w:t xml:space="preserve"> Prior to appointments being made questions will be asked to ensure any additional requirements are taken into consideration to allow the pati</w:t>
            </w:r>
            <w:r w:rsidR="00AF75D6">
              <w:t xml:space="preserve">ent to attend their appointment, </w:t>
            </w:r>
            <w:r w:rsidR="00AF75D6" w:rsidRPr="006B4DFF">
              <w:t>e.g. deaf interpreting</w:t>
            </w: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Religion or Belief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  </w:t>
            </w:r>
          </w:p>
          <w:p w:rsidR="003011EC" w:rsidRDefault="003011EC" w:rsidP="008C6BA4">
            <w:pPr>
              <w:rPr>
                <w:rFonts w:ascii="Arial" w:hAnsi="Arial" w:cs="Arial"/>
                <w:sz w:val="24"/>
                <w:szCs w:val="24"/>
              </w:rPr>
            </w:pPr>
          </w:p>
          <w:p w:rsidR="00AC2CD1" w:rsidRPr="003011EC" w:rsidRDefault="00AC2CD1" w:rsidP="008C6BA4">
            <w:pPr>
              <w:rPr>
                <w:rFonts w:ascii="Arial" w:hAnsi="Arial" w:cs="Arial"/>
                <w:sz w:val="24"/>
                <w:szCs w:val="24"/>
              </w:rPr>
            </w:pPr>
          </w:p>
        </w:tc>
        <w:tc>
          <w:tcPr>
            <w:tcW w:w="1225" w:type="dxa"/>
            <w:shd w:val="pct5" w:color="auto" w:fill="auto"/>
          </w:tcPr>
          <w:p w:rsidR="003011EC" w:rsidRPr="003011EC" w:rsidRDefault="003011EC" w:rsidP="00825186">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1F5F1D" w:rsidP="001F5F1D">
            <w:pPr>
              <w:jc w:val="center"/>
              <w:rPr>
                <w:rFonts w:ascii="Arial" w:hAnsi="Arial" w:cs="Arial"/>
                <w:sz w:val="24"/>
                <w:szCs w:val="24"/>
              </w:rPr>
            </w:pPr>
            <w:r w:rsidRPr="00E37EFA">
              <w:rPr>
                <w:rFonts w:ascii="Arial" w:hAnsi="Arial" w:cs="Arial"/>
                <w:sz w:val="24"/>
                <w:szCs w:val="24"/>
              </w:rPr>
              <w:sym w:font="Wingdings" w:char="F0FC"/>
            </w:r>
          </w:p>
        </w:tc>
        <w:tc>
          <w:tcPr>
            <w:tcW w:w="6969" w:type="dxa"/>
          </w:tcPr>
          <w:p w:rsidR="00825186" w:rsidRPr="003845AC" w:rsidRDefault="00825186" w:rsidP="00825186">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on </w:t>
            </w:r>
            <w:r>
              <w:rPr>
                <w:szCs w:val="24"/>
              </w:rPr>
              <w:t>religion or belief</w:t>
            </w:r>
            <w:r w:rsidRPr="003845AC">
              <w:rPr>
                <w:szCs w:val="24"/>
              </w:rPr>
              <w:t>. The eligibility will continue to be based on the medical needs of the patient.</w:t>
            </w:r>
          </w:p>
          <w:p w:rsidR="003011EC" w:rsidRPr="00825186" w:rsidRDefault="00825186" w:rsidP="00927177">
            <w:pPr>
              <w:ind w:right="379"/>
              <w:rPr>
                <w:szCs w:val="24"/>
              </w:rPr>
            </w:pPr>
            <w:r w:rsidRPr="003845AC">
              <w:rPr>
                <w:szCs w:val="24"/>
              </w:rPr>
              <w:t>It is need which must decide the provision of service.  So whilst preference will be respected where possible within the confines of promoting an effective and efficient service, a preference as against an evidence need cannot be guaranteed to be ful</w:t>
            </w:r>
            <w:r>
              <w:rPr>
                <w:szCs w:val="24"/>
              </w:rPr>
              <w:t>filled by any clinical service.</w:t>
            </w:r>
            <w:r w:rsidR="00606FC5">
              <w:rPr>
                <w:szCs w:val="24"/>
              </w:rPr>
              <w:t xml:space="preserve"> </w:t>
            </w:r>
            <w:r w:rsidR="00927177" w:rsidRPr="00927177">
              <w:rPr>
                <w:szCs w:val="24"/>
              </w:rPr>
              <w:t>D</w:t>
            </w:r>
            <w:r w:rsidR="00606FC5" w:rsidRPr="00927177">
              <w:rPr>
                <w:szCs w:val="24"/>
              </w:rPr>
              <w:t>ue to religious belief (and also gender) women may request a female health care professional</w:t>
            </w:r>
          </w:p>
        </w:tc>
      </w:tr>
      <w:tr w:rsidR="006E656E" w:rsidRPr="003011EC" w:rsidTr="008C6BA4">
        <w:tc>
          <w:tcPr>
            <w:tcW w:w="3305" w:type="dxa"/>
            <w:tcBorders>
              <w:bottom w:val="single" w:sz="4" w:space="0" w:color="auto"/>
            </w:tcBorders>
            <w:shd w:val="pct12" w:color="auto" w:fill="auto"/>
          </w:tcPr>
          <w:p w:rsidR="003011EC" w:rsidRPr="003011EC" w:rsidRDefault="003011EC" w:rsidP="00AC2CD1">
            <w:pPr>
              <w:spacing w:after="0" w:line="240" w:lineRule="auto"/>
              <w:rPr>
                <w:rFonts w:ascii="Arial" w:hAnsi="Arial" w:cs="Arial"/>
                <w:sz w:val="24"/>
                <w:szCs w:val="24"/>
              </w:rPr>
            </w:pPr>
            <w:r w:rsidRPr="003011EC">
              <w:rPr>
                <w:rFonts w:ascii="Arial" w:hAnsi="Arial" w:cs="Arial"/>
                <w:b/>
                <w:sz w:val="24"/>
                <w:szCs w:val="24"/>
              </w:rPr>
              <w:t xml:space="preserve">Sexual Orientation  </w:t>
            </w:r>
            <w:r w:rsidR="006E656E">
              <w:rPr>
                <w:rFonts w:ascii="Arial" w:hAnsi="Arial" w:cs="Arial"/>
                <w:sz w:val="24"/>
                <w:szCs w:val="24"/>
              </w:rPr>
              <w:t xml:space="preserve"> </w:t>
            </w:r>
            <w:r w:rsidRPr="003011EC">
              <w:rPr>
                <w:rFonts w:ascii="Arial" w:hAnsi="Arial" w:cs="Arial"/>
                <w:sz w:val="24"/>
                <w:szCs w:val="24"/>
              </w:rPr>
              <w:t xml:space="preserve">(Heterosexual, Homosexual  </w:t>
            </w:r>
          </w:p>
          <w:p w:rsidR="003011EC" w:rsidRDefault="003011EC" w:rsidP="00AC2CD1">
            <w:pPr>
              <w:spacing w:after="0" w:line="240" w:lineRule="auto"/>
              <w:rPr>
                <w:rFonts w:ascii="Arial" w:hAnsi="Arial" w:cs="Arial"/>
                <w:sz w:val="24"/>
                <w:szCs w:val="24"/>
              </w:rPr>
            </w:pPr>
            <w:r w:rsidRPr="003011EC">
              <w:rPr>
                <w:rFonts w:ascii="Arial" w:hAnsi="Arial" w:cs="Arial"/>
                <w:sz w:val="24"/>
                <w:szCs w:val="24"/>
              </w:rPr>
              <w:t xml:space="preserve">  and Bisexual)   </w:t>
            </w:r>
          </w:p>
          <w:p w:rsidR="00AC2CD1" w:rsidRPr="003011EC" w:rsidRDefault="00AC2CD1" w:rsidP="00AC2CD1">
            <w:pPr>
              <w:spacing w:after="0" w:line="240" w:lineRule="auto"/>
              <w:rPr>
                <w:rFonts w:ascii="Arial" w:hAnsi="Arial" w:cs="Arial"/>
                <w:sz w:val="24"/>
                <w:szCs w:val="24"/>
              </w:rPr>
            </w:pPr>
          </w:p>
        </w:tc>
        <w:tc>
          <w:tcPr>
            <w:tcW w:w="1225" w:type="dxa"/>
            <w:tcBorders>
              <w:bottom w:val="single" w:sz="4" w:space="0" w:color="auto"/>
            </w:tcBorders>
            <w:shd w:val="pct5" w:color="auto" w:fill="auto"/>
          </w:tcPr>
          <w:p w:rsidR="003011EC" w:rsidRPr="003011EC" w:rsidRDefault="00825186" w:rsidP="00825186">
            <w:pPr>
              <w:jc w:val="center"/>
              <w:rPr>
                <w:rFonts w:ascii="Arial" w:hAnsi="Arial" w:cs="Arial"/>
                <w:sz w:val="24"/>
                <w:szCs w:val="24"/>
              </w:rPr>
            </w:pPr>
            <w:r>
              <w:rPr>
                <w:rFonts w:ascii="Arial" w:hAnsi="Arial" w:cs="Arial"/>
                <w:sz w:val="24"/>
                <w:szCs w:val="24"/>
              </w:rPr>
              <w:sym w:font="Wingdings" w:char="F0FC"/>
            </w:r>
          </w:p>
        </w:tc>
        <w:tc>
          <w:tcPr>
            <w:tcW w:w="1275" w:type="dxa"/>
            <w:tcBorders>
              <w:bottom w:val="single" w:sz="4" w:space="0" w:color="auto"/>
            </w:tcBorders>
            <w:shd w:val="pct5" w:color="auto" w:fill="auto"/>
          </w:tcPr>
          <w:p w:rsidR="003011EC" w:rsidRPr="003011EC" w:rsidRDefault="003011EC" w:rsidP="008C6BA4">
            <w:pPr>
              <w:rPr>
                <w:rFonts w:ascii="Arial" w:hAnsi="Arial" w:cs="Arial"/>
                <w:sz w:val="24"/>
                <w:szCs w:val="24"/>
              </w:rPr>
            </w:pPr>
          </w:p>
        </w:tc>
        <w:tc>
          <w:tcPr>
            <w:tcW w:w="1400" w:type="dxa"/>
            <w:tcBorders>
              <w:bottom w:val="single" w:sz="4" w:space="0" w:color="auto"/>
            </w:tcBorders>
            <w:shd w:val="pct5" w:color="auto" w:fill="auto"/>
          </w:tcPr>
          <w:p w:rsidR="003011EC" w:rsidRPr="003011EC" w:rsidRDefault="003011EC" w:rsidP="008C6BA4">
            <w:pPr>
              <w:rPr>
                <w:rFonts w:ascii="Arial" w:hAnsi="Arial" w:cs="Arial"/>
                <w:sz w:val="24"/>
                <w:szCs w:val="24"/>
              </w:rPr>
            </w:pPr>
          </w:p>
        </w:tc>
        <w:tc>
          <w:tcPr>
            <w:tcW w:w="6969" w:type="dxa"/>
            <w:tcBorders>
              <w:bottom w:val="single" w:sz="4" w:space="0" w:color="auto"/>
            </w:tcBorders>
          </w:tcPr>
          <w:p w:rsidR="003011EC" w:rsidRPr="00825186" w:rsidRDefault="00825186" w:rsidP="004564A2">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w:t>
            </w:r>
            <w:r w:rsidRPr="00927177">
              <w:rPr>
                <w:szCs w:val="24"/>
              </w:rPr>
              <w:t xml:space="preserve">on </w:t>
            </w:r>
            <w:r w:rsidR="004564A2" w:rsidRPr="00927177">
              <w:rPr>
                <w:szCs w:val="24"/>
              </w:rPr>
              <w:t>sexual orientation</w:t>
            </w:r>
            <w:r w:rsidR="00927177">
              <w:rPr>
                <w:szCs w:val="24"/>
              </w:rPr>
              <w:t>.</w:t>
            </w:r>
            <w:r w:rsidRPr="00927177">
              <w:rPr>
                <w:szCs w:val="24"/>
              </w:rPr>
              <w:t xml:space="preserve"> </w:t>
            </w:r>
            <w:r w:rsidRPr="003845AC">
              <w:rPr>
                <w:szCs w:val="24"/>
              </w:rPr>
              <w:t>The eligibility will continue to be based on th</w:t>
            </w:r>
            <w:r>
              <w:rPr>
                <w:szCs w:val="24"/>
              </w:rPr>
              <w:t>e medical needs of the patient.</w:t>
            </w:r>
            <w:r w:rsidR="00D5020B">
              <w:rPr>
                <w:szCs w:val="24"/>
              </w:rPr>
              <w:t xml:space="preserve"> No evidence of adverse or more favourable impact identified.</w:t>
            </w: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Pregnancy and Maternity </w:t>
            </w:r>
          </w:p>
          <w:p w:rsidR="003011EC" w:rsidRPr="003011EC" w:rsidRDefault="003011EC" w:rsidP="008C6BA4">
            <w:pPr>
              <w:rPr>
                <w:rFonts w:ascii="Arial" w:hAnsi="Arial" w:cs="Arial"/>
                <w:b/>
                <w:sz w:val="24"/>
                <w:szCs w:val="24"/>
              </w:rPr>
            </w:pPr>
          </w:p>
        </w:tc>
        <w:tc>
          <w:tcPr>
            <w:tcW w:w="1225" w:type="dxa"/>
            <w:shd w:val="pct5" w:color="auto" w:fill="auto"/>
          </w:tcPr>
          <w:p w:rsidR="003011EC" w:rsidRPr="003011EC" w:rsidRDefault="003011EC" w:rsidP="00606FC5">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69577B" w:rsidP="00E62893">
            <w:pPr>
              <w:jc w:val="center"/>
              <w:rPr>
                <w:rFonts w:ascii="Arial" w:hAnsi="Arial" w:cs="Arial"/>
                <w:sz w:val="24"/>
                <w:szCs w:val="24"/>
              </w:rPr>
            </w:pPr>
            <w:r w:rsidRPr="0069577B">
              <w:rPr>
                <w:rFonts w:ascii="Arial" w:hAnsi="Arial" w:cs="Arial"/>
                <w:sz w:val="24"/>
                <w:szCs w:val="24"/>
              </w:rPr>
              <w:sym w:font="Wingdings" w:char="F0FC"/>
            </w:r>
          </w:p>
        </w:tc>
        <w:tc>
          <w:tcPr>
            <w:tcW w:w="6969" w:type="dxa"/>
          </w:tcPr>
          <w:p w:rsidR="00E62893" w:rsidRDefault="00E62893" w:rsidP="00E62893">
            <w:pPr>
              <w:ind w:right="379"/>
              <w:rPr>
                <w:szCs w:val="24"/>
              </w:rPr>
            </w:pPr>
            <w:r w:rsidRPr="003845AC">
              <w:rPr>
                <w:szCs w:val="24"/>
              </w:rPr>
              <w:t>The p</w:t>
            </w:r>
            <w:r>
              <w:rPr>
                <w:szCs w:val="24"/>
              </w:rPr>
              <w:t xml:space="preserve">roposed eligibility criteria do </w:t>
            </w:r>
            <w:r w:rsidRPr="003845AC">
              <w:rPr>
                <w:szCs w:val="24"/>
              </w:rPr>
              <w:t xml:space="preserve">not assess eligibility for services based on </w:t>
            </w:r>
            <w:r>
              <w:rPr>
                <w:szCs w:val="24"/>
              </w:rPr>
              <w:t xml:space="preserve">maternity. </w:t>
            </w:r>
          </w:p>
          <w:p w:rsidR="00E62893" w:rsidRDefault="00E62893" w:rsidP="00E62893">
            <w:pPr>
              <w:ind w:right="379"/>
              <w:rPr>
                <w:szCs w:val="24"/>
              </w:rPr>
            </w:pPr>
            <w:r>
              <w:rPr>
                <w:szCs w:val="24"/>
              </w:rPr>
              <w:lastRenderedPageBreak/>
              <w:t xml:space="preserve">Eligibility </w:t>
            </w:r>
            <w:r w:rsidRPr="003845AC">
              <w:rPr>
                <w:szCs w:val="24"/>
              </w:rPr>
              <w:t>for</w:t>
            </w:r>
            <w:r>
              <w:rPr>
                <w:szCs w:val="24"/>
              </w:rPr>
              <w:t xml:space="preserve"> the diagnostic</w:t>
            </w:r>
            <w:r w:rsidRPr="003845AC">
              <w:rPr>
                <w:szCs w:val="24"/>
              </w:rPr>
              <w:t xml:space="preserve"> services</w:t>
            </w:r>
            <w:r>
              <w:rPr>
                <w:szCs w:val="24"/>
              </w:rPr>
              <w:t xml:space="preserve"> on this pathway will</w:t>
            </w:r>
            <w:r w:rsidRPr="003845AC">
              <w:rPr>
                <w:szCs w:val="24"/>
              </w:rPr>
              <w:t xml:space="preserve"> be based on the medical needs of the patient.</w:t>
            </w:r>
            <w:r>
              <w:rPr>
                <w:szCs w:val="24"/>
              </w:rPr>
              <w:t xml:space="preserve"> </w:t>
            </w:r>
          </w:p>
          <w:p w:rsidR="003011EC" w:rsidRDefault="00B63265" w:rsidP="00E62893">
            <w:pPr>
              <w:ind w:right="379"/>
              <w:rPr>
                <w:szCs w:val="24"/>
              </w:rPr>
            </w:pPr>
            <w:r>
              <w:rPr>
                <w:szCs w:val="24"/>
              </w:rPr>
              <w:t>Some diagnostics i.e. S</w:t>
            </w:r>
            <w:r w:rsidR="00E62893">
              <w:rPr>
                <w:szCs w:val="24"/>
              </w:rPr>
              <w:t>canning may not be available to pregnant women as it may pose a threat to the unborn child. This will be reviewed on a case by case basis.</w:t>
            </w:r>
          </w:p>
          <w:p w:rsidR="00606FC5" w:rsidRPr="009D43A4" w:rsidRDefault="00BB2DC5" w:rsidP="00BB2DC5">
            <w:pPr>
              <w:ind w:right="379"/>
              <w:rPr>
                <w:szCs w:val="24"/>
              </w:rPr>
            </w:pPr>
            <w:r w:rsidRPr="001E7B16">
              <w:rPr>
                <w:szCs w:val="24"/>
              </w:rPr>
              <w:t xml:space="preserve">Those on maternity will have access to baby changing facilities if an appointment is required at </w:t>
            </w:r>
            <w:r w:rsidR="001E7B16" w:rsidRPr="001E7B16">
              <w:rPr>
                <w:szCs w:val="24"/>
              </w:rPr>
              <w:t>any</w:t>
            </w:r>
            <w:r w:rsidR="00B63265">
              <w:t xml:space="preserve"> of the pathway </w:t>
            </w:r>
            <w:r w:rsidR="001E7B16" w:rsidRPr="001E7B16">
              <w:t>locations</w:t>
            </w:r>
            <w:r w:rsidR="001E7B16">
              <w:t>.</w:t>
            </w:r>
            <w:r w:rsidR="00B63265">
              <w:t xml:space="preserve"> I.e. Headache clinics or secondary care </w:t>
            </w:r>
            <w:r w:rsidR="006B18E0">
              <w:t>appointments</w:t>
            </w: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lastRenderedPageBreak/>
              <w:t>Marital Status</w:t>
            </w:r>
            <w:r w:rsidR="006E656E">
              <w:rPr>
                <w:rFonts w:ascii="Arial" w:hAnsi="Arial" w:cs="Arial"/>
                <w:b/>
                <w:sz w:val="24"/>
                <w:szCs w:val="24"/>
              </w:rPr>
              <w:t xml:space="preserve"> </w:t>
            </w:r>
            <w:r w:rsidR="006E656E" w:rsidRPr="006E656E">
              <w:rPr>
                <w:rFonts w:ascii="Arial" w:hAnsi="Arial" w:cs="Arial"/>
                <w:sz w:val="24"/>
                <w:szCs w:val="24"/>
              </w:rPr>
              <w:t>(</w:t>
            </w:r>
            <w:r w:rsidRPr="003011EC">
              <w:rPr>
                <w:rFonts w:ascii="Arial" w:hAnsi="Arial" w:cs="Arial"/>
                <w:sz w:val="24"/>
                <w:szCs w:val="24"/>
              </w:rPr>
              <w:t xml:space="preserve">Married and Civil Partnerships)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1225" w:type="dxa"/>
            <w:shd w:val="pct5" w:color="auto" w:fill="auto"/>
          </w:tcPr>
          <w:p w:rsidR="003011EC" w:rsidRPr="003011EC" w:rsidRDefault="00825186" w:rsidP="00825186">
            <w:pPr>
              <w:jc w:val="center"/>
              <w:rPr>
                <w:rFonts w:ascii="Arial" w:hAnsi="Arial" w:cs="Arial"/>
                <w:sz w:val="24"/>
                <w:szCs w:val="24"/>
              </w:rPr>
            </w:pPr>
            <w:r>
              <w:rPr>
                <w:rFonts w:ascii="Arial" w:hAnsi="Arial" w:cs="Arial"/>
                <w:sz w:val="24"/>
                <w:szCs w:val="24"/>
              </w:rPr>
              <w:sym w:font="Wingdings" w:char="F0FC"/>
            </w: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011EC" w:rsidP="008C6BA4">
            <w:pPr>
              <w:rPr>
                <w:rFonts w:ascii="Arial" w:hAnsi="Arial" w:cs="Arial"/>
                <w:sz w:val="24"/>
                <w:szCs w:val="24"/>
              </w:rPr>
            </w:pPr>
          </w:p>
        </w:tc>
        <w:tc>
          <w:tcPr>
            <w:tcW w:w="6969" w:type="dxa"/>
          </w:tcPr>
          <w:p w:rsidR="003011EC" w:rsidRPr="00825186" w:rsidRDefault="00825186" w:rsidP="004564A2">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on </w:t>
            </w:r>
            <w:r w:rsidR="004564A2" w:rsidRPr="00927177">
              <w:rPr>
                <w:szCs w:val="24"/>
              </w:rPr>
              <w:t>marital status</w:t>
            </w:r>
            <w:r w:rsidR="00927177">
              <w:rPr>
                <w:szCs w:val="24"/>
              </w:rPr>
              <w:t>.</w:t>
            </w:r>
            <w:r w:rsidRPr="00927177">
              <w:rPr>
                <w:szCs w:val="24"/>
              </w:rPr>
              <w:t xml:space="preserve"> </w:t>
            </w:r>
            <w:r w:rsidR="00D5020B">
              <w:rPr>
                <w:szCs w:val="24"/>
              </w:rPr>
              <w:t xml:space="preserve">No evidence of adverse or more favourable impact identified. </w:t>
            </w:r>
            <w:r w:rsidRPr="003845AC">
              <w:rPr>
                <w:szCs w:val="24"/>
              </w:rPr>
              <w:t>The eligibility will continue to be based on th</w:t>
            </w:r>
            <w:r>
              <w:rPr>
                <w:szCs w:val="24"/>
              </w:rPr>
              <w:t>e medical needs of the patient.</w:t>
            </w:r>
            <w:r w:rsidR="00D5020B">
              <w:rPr>
                <w:szCs w:val="24"/>
              </w:rPr>
              <w:t xml:space="preserve"> </w:t>
            </w:r>
          </w:p>
        </w:tc>
      </w:tr>
      <w:tr w:rsidR="006E656E" w:rsidRPr="003011EC" w:rsidTr="008C6BA4">
        <w:tc>
          <w:tcPr>
            <w:tcW w:w="3305" w:type="dxa"/>
            <w:shd w:val="pct12" w:color="auto" w:fill="auto"/>
          </w:tcPr>
          <w:p w:rsidR="00BA7E78" w:rsidRPr="00994A6F" w:rsidRDefault="00BA7E78" w:rsidP="00994A6F">
            <w:pPr>
              <w:spacing w:after="0" w:line="240" w:lineRule="auto"/>
              <w:rPr>
                <w:rFonts w:ascii="Arial" w:hAnsi="Arial" w:cs="Arial"/>
                <w:b/>
                <w:sz w:val="24"/>
                <w:szCs w:val="24"/>
              </w:rPr>
            </w:pPr>
            <w:r w:rsidRPr="00994A6F">
              <w:rPr>
                <w:rFonts w:ascii="Arial" w:hAnsi="Arial" w:cs="Arial"/>
                <w:b/>
                <w:sz w:val="24"/>
                <w:szCs w:val="24"/>
              </w:rPr>
              <w:t>Gender re-assignment</w:t>
            </w:r>
          </w:p>
          <w:p w:rsidR="00994A6F" w:rsidRPr="00994A6F" w:rsidRDefault="00994A6F" w:rsidP="00994A6F">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person </w:t>
            </w:r>
            <w:r w:rsidRPr="00994A6F">
              <w:rPr>
                <w:rFonts w:ascii="Arial" w:eastAsia="Times New Roman" w:hAnsi="Arial" w:cs="Arial"/>
                <w:sz w:val="24"/>
                <w:szCs w:val="24"/>
                <w:lang w:val="en" w:eastAsia="en-GB"/>
              </w:rPr>
              <w:t xml:space="preserve">proposing to undergo, is undergoing or has undergone a process (or part of a process) for the purpose of reassigning the person's sex by changing physiological or other attributes of sex.  A reference to a transsexual person is a person who has the protected characteristic of gender identity. </w:t>
            </w:r>
          </w:p>
        </w:tc>
        <w:tc>
          <w:tcPr>
            <w:tcW w:w="1225" w:type="dxa"/>
            <w:shd w:val="pct5" w:color="auto" w:fill="auto"/>
          </w:tcPr>
          <w:p w:rsidR="003011EC" w:rsidRPr="003011EC" w:rsidRDefault="00606FC5" w:rsidP="00825186">
            <w:pPr>
              <w:jc w:val="center"/>
              <w:rPr>
                <w:rFonts w:ascii="Arial" w:hAnsi="Arial" w:cs="Arial"/>
                <w:sz w:val="24"/>
                <w:szCs w:val="24"/>
              </w:rPr>
            </w:pPr>
            <w:r>
              <w:rPr>
                <w:rFonts w:ascii="Arial" w:hAnsi="Arial" w:cs="Arial"/>
                <w:sz w:val="24"/>
                <w:szCs w:val="24"/>
              </w:rPr>
              <w:sym w:font="Wingdings" w:char="F0FC"/>
            </w: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3011EC" w:rsidP="008C6BA4">
            <w:pPr>
              <w:rPr>
                <w:rFonts w:ascii="Arial" w:hAnsi="Arial" w:cs="Arial"/>
                <w:sz w:val="24"/>
                <w:szCs w:val="24"/>
              </w:rPr>
            </w:pPr>
          </w:p>
        </w:tc>
        <w:tc>
          <w:tcPr>
            <w:tcW w:w="6969" w:type="dxa"/>
          </w:tcPr>
          <w:p w:rsidR="003011EC" w:rsidRDefault="00825186" w:rsidP="00D5020B">
            <w:pPr>
              <w:ind w:right="379"/>
              <w:rPr>
                <w:szCs w:val="24"/>
              </w:rPr>
            </w:pPr>
            <w:r w:rsidRPr="003845AC">
              <w:rPr>
                <w:szCs w:val="24"/>
              </w:rPr>
              <w:t xml:space="preserve">The </w:t>
            </w:r>
            <w:r>
              <w:rPr>
                <w:szCs w:val="24"/>
              </w:rPr>
              <w:t>proposed service</w:t>
            </w:r>
            <w:r w:rsidRPr="003845AC">
              <w:rPr>
                <w:szCs w:val="24"/>
              </w:rPr>
              <w:t xml:space="preserve"> do</w:t>
            </w:r>
            <w:r>
              <w:rPr>
                <w:szCs w:val="24"/>
              </w:rPr>
              <w:t>es</w:t>
            </w:r>
            <w:r w:rsidRPr="003845AC">
              <w:rPr>
                <w:szCs w:val="24"/>
              </w:rPr>
              <w:t xml:space="preserve"> not assess eligibility for access to these services based on gender reassignment.</w:t>
            </w:r>
            <w:r w:rsidR="00D5020B">
              <w:rPr>
                <w:szCs w:val="24"/>
              </w:rPr>
              <w:t xml:space="preserve"> No evidence of adverse or more favourable impact identified.</w:t>
            </w:r>
            <w:r w:rsidR="00D5020B" w:rsidRPr="003845AC">
              <w:rPr>
                <w:szCs w:val="24"/>
              </w:rPr>
              <w:t xml:space="preserve"> The eligibility will continue to be based on th</w:t>
            </w:r>
            <w:r w:rsidR="00D5020B">
              <w:rPr>
                <w:szCs w:val="24"/>
              </w:rPr>
              <w:t>e medical needs of the patient.</w:t>
            </w:r>
          </w:p>
          <w:p w:rsidR="00606FC5" w:rsidRPr="00825186" w:rsidRDefault="00606FC5" w:rsidP="00D5020B">
            <w:pPr>
              <w:ind w:right="379"/>
              <w:rPr>
                <w:szCs w:val="24"/>
              </w:rPr>
            </w:pPr>
          </w:p>
        </w:tc>
      </w:tr>
      <w:tr w:rsidR="006E656E" w:rsidRPr="003011EC" w:rsidTr="008C6BA4">
        <w:tc>
          <w:tcPr>
            <w:tcW w:w="3305"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 Age</w:t>
            </w:r>
            <w:r w:rsidR="00393D1A">
              <w:rPr>
                <w:rFonts w:ascii="Arial" w:hAnsi="Arial" w:cs="Arial"/>
                <w:b/>
                <w:sz w:val="24"/>
                <w:szCs w:val="24"/>
              </w:rPr>
              <w:t xml:space="preserve"> </w:t>
            </w:r>
            <w:r w:rsidRPr="003011EC">
              <w:rPr>
                <w:rFonts w:ascii="Arial" w:hAnsi="Arial" w:cs="Arial"/>
                <w:sz w:val="24"/>
                <w:szCs w:val="24"/>
              </w:rPr>
              <w:t xml:space="preserve">(People of all ages) </w:t>
            </w:r>
          </w:p>
          <w:p w:rsidR="003011EC" w:rsidRPr="003011EC" w:rsidRDefault="003011EC" w:rsidP="008C6BA4">
            <w:pPr>
              <w:rPr>
                <w:rFonts w:ascii="Arial" w:hAnsi="Arial" w:cs="Arial"/>
                <w:b/>
                <w:sz w:val="24"/>
                <w:szCs w:val="24"/>
              </w:rPr>
            </w:pPr>
            <w:r w:rsidRPr="003011EC">
              <w:rPr>
                <w:rFonts w:ascii="Arial" w:hAnsi="Arial" w:cs="Arial"/>
                <w:b/>
                <w:sz w:val="24"/>
                <w:szCs w:val="24"/>
              </w:rPr>
              <w:lastRenderedPageBreak/>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   </w:t>
            </w:r>
          </w:p>
        </w:tc>
        <w:tc>
          <w:tcPr>
            <w:tcW w:w="1225" w:type="dxa"/>
            <w:shd w:val="pct5" w:color="auto" w:fill="auto"/>
          </w:tcPr>
          <w:p w:rsidR="003011EC" w:rsidRPr="003011EC" w:rsidRDefault="003011EC" w:rsidP="00606FC5">
            <w:pPr>
              <w:jc w:val="center"/>
              <w:rPr>
                <w:rFonts w:ascii="Arial" w:hAnsi="Arial" w:cs="Arial"/>
                <w:sz w:val="24"/>
                <w:szCs w:val="24"/>
              </w:rPr>
            </w:pPr>
          </w:p>
        </w:tc>
        <w:tc>
          <w:tcPr>
            <w:tcW w:w="1275" w:type="dxa"/>
            <w:shd w:val="pct5" w:color="auto" w:fill="auto"/>
          </w:tcPr>
          <w:p w:rsidR="003011EC" w:rsidRPr="003011EC" w:rsidRDefault="003011EC" w:rsidP="008C6BA4">
            <w:pPr>
              <w:rPr>
                <w:rFonts w:ascii="Arial" w:hAnsi="Arial" w:cs="Arial"/>
                <w:sz w:val="24"/>
                <w:szCs w:val="24"/>
              </w:rPr>
            </w:pPr>
          </w:p>
        </w:tc>
        <w:tc>
          <w:tcPr>
            <w:tcW w:w="1400" w:type="dxa"/>
            <w:shd w:val="pct5" w:color="auto" w:fill="auto"/>
          </w:tcPr>
          <w:p w:rsidR="003011EC" w:rsidRPr="003011EC" w:rsidRDefault="0069577B" w:rsidP="00156164">
            <w:pPr>
              <w:jc w:val="center"/>
              <w:rPr>
                <w:rFonts w:ascii="Arial" w:hAnsi="Arial" w:cs="Arial"/>
                <w:sz w:val="24"/>
                <w:szCs w:val="24"/>
              </w:rPr>
            </w:pPr>
            <w:r w:rsidRPr="0069577B">
              <w:rPr>
                <w:rFonts w:ascii="Arial" w:hAnsi="Arial" w:cs="Arial"/>
                <w:sz w:val="24"/>
                <w:szCs w:val="24"/>
              </w:rPr>
              <w:sym w:font="Wingdings" w:char="F0FC"/>
            </w:r>
          </w:p>
        </w:tc>
        <w:tc>
          <w:tcPr>
            <w:tcW w:w="6969" w:type="dxa"/>
          </w:tcPr>
          <w:p w:rsidR="00966F65" w:rsidRPr="00F33411" w:rsidRDefault="00F33411" w:rsidP="00966F65">
            <w:pPr>
              <w:ind w:right="379"/>
              <w:rPr>
                <w:szCs w:val="24"/>
              </w:rPr>
            </w:pPr>
            <w:r w:rsidRPr="00F33411">
              <w:rPr>
                <w:szCs w:val="24"/>
              </w:rPr>
              <w:t xml:space="preserve">Headache issues can affect people at any age. </w:t>
            </w:r>
            <w:r w:rsidR="00966F65" w:rsidRPr="00F33411">
              <w:rPr>
                <w:szCs w:val="24"/>
              </w:rPr>
              <w:t xml:space="preserve">The option to deliver care closer to home through countywide </w:t>
            </w:r>
            <w:r w:rsidRPr="00F33411">
              <w:rPr>
                <w:szCs w:val="24"/>
              </w:rPr>
              <w:t>headache clinics</w:t>
            </w:r>
            <w:r w:rsidR="00966F65" w:rsidRPr="00F33411">
              <w:rPr>
                <w:szCs w:val="24"/>
              </w:rPr>
              <w:t xml:space="preserve"> is a major </w:t>
            </w:r>
            <w:r w:rsidR="00966F65" w:rsidRPr="00F33411">
              <w:rPr>
                <w:szCs w:val="24"/>
              </w:rPr>
              <w:lastRenderedPageBreak/>
              <w:t>benefit for patients</w:t>
            </w:r>
            <w:r w:rsidRPr="00F33411">
              <w:rPr>
                <w:szCs w:val="24"/>
              </w:rPr>
              <w:t xml:space="preserve"> of all ages</w:t>
            </w:r>
            <w:r w:rsidR="00966F65" w:rsidRPr="00F33411">
              <w:rPr>
                <w:szCs w:val="24"/>
              </w:rPr>
              <w:t>.</w:t>
            </w:r>
          </w:p>
          <w:p w:rsidR="00825186" w:rsidRPr="00F33411" w:rsidRDefault="00F33411" w:rsidP="00825186">
            <w:pPr>
              <w:ind w:right="379"/>
              <w:rPr>
                <w:szCs w:val="24"/>
              </w:rPr>
            </w:pPr>
            <w:r w:rsidRPr="00F33411">
              <w:rPr>
                <w:szCs w:val="24"/>
              </w:rPr>
              <w:t>The impact of diverting patients</w:t>
            </w:r>
            <w:r w:rsidR="00825186" w:rsidRPr="00F33411">
              <w:rPr>
                <w:szCs w:val="24"/>
              </w:rPr>
              <w:t xml:space="preserve"> away from a central provider location will require us to ensure that safeguarding needs are fully assessed for this group of patients.  Future service providers will need to assure the commissioning group around Disclosure and Barring Service (DBS) arrangements.</w:t>
            </w:r>
          </w:p>
          <w:p w:rsidR="00825186" w:rsidRPr="00F33411" w:rsidRDefault="00825186" w:rsidP="00966F65">
            <w:pPr>
              <w:ind w:right="379"/>
              <w:rPr>
                <w:szCs w:val="24"/>
              </w:rPr>
            </w:pPr>
            <w:r w:rsidRPr="00F33411">
              <w:rPr>
                <w:szCs w:val="24"/>
              </w:rPr>
              <w:t>Whilst older people will be impacted they are also the group who will have the highest needs for accessing the service in any future community-based locations.  Arrangements will be made to ensure that no group of patients is negatively impacted by the move to delivery of services in any new locations.</w:t>
            </w:r>
          </w:p>
          <w:p w:rsidR="009D43A4" w:rsidRPr="00966F65" w:rsidRDefault="00966F65" w:rsidP="009D43A4">
            <w:pPr>
              <w:ind w:right="379"/>
              <w:rPr>
                <w:szCs w:val="24"/>
              </w:rPr>
            </w:pPr>
            <w:r w:rsidRPr="00F33411">
              <w:rPr>
                <w:szCs w:val="24"/>
              </w:rPr>
              <w:t>The service is proposing to be available</w:t>
            </w:r>
            <w:r w:rsidR="009D43A4">
              <w:rPr>
                <w:szCs w:val="24"/>
              </w:rPr>
              <w:t xml:space="preserve"> during hours that are in-line with normal GP opening times.</w:t>
            </w:r>
          </w:p>
        </w:tc>
      </w:tr>
      <w:tr w:rsidR="003262C1" w:rsidRPr="003011EC" w:rsidTr="008C6BA4">
        <w:tc>
          <w:tcPr>
            <w:tcW w:w="3305" w:type="dxa"/>
            <w:shd w:val="pct12" w:color="auto" w:fill="auto"/>
          </w:tcPr>
          <w:p w:rsidR="003262C1" w:rsidRPr="003011EC" w:rsidRDefault="003262C1" w:rsidP="008C6BA4">
            <w:pPr>
              <w:rPr>
                <w:rFonts w:ascii="Arial" w:hAnsi="Arial" w:cs="Arial"/>
                <w:b/>
                <w:sz w:val="24"/>
                <w:szCs w:val="24"/>
              </w:rPr>
            </w:pPr>
            <w:r>
              <w:rPr>
                <w:rFonts w:ascii="Arial" w:hAnsi="Arial" w:cs="Arial"/>
                <w:b/>
                <w:sz w:val="24"/>
                <w:szCs w:val="24"/>
              </w:rPr>
              <w:lastRenderedPageBreak/>
              <w:t>Other groups nominated by OCCG which could experience inequality of access or treatment, such as carers, veterans, homeless people and people living in socio-economic areas of deprivation in Oxfordshire.</w:t>
            </w:r>
          </w:p>
        </w:tc>
        <w:tc>
          <w:tcPr>
            <w:tcW w:w="1225" w:type="dxa"/>
            <w:shd w:val="pct5" w:color="auto" w:fill="auto"/>
          </w:tcPr>
          <w:p w:rsidR="003262C1" w:rsidRPr="003011EC" w:rsidRDefault="00156164" w:rsidP="00156164">
            <w:pPr>
              <w:jc w:val="center"/>
              <w:rPr>
                <w:rFonts w:ascii="Arial" w:hAnsi="Arial" w:cs="Arial"/>
                <w:sz w:val="24"/>
                <w:szCs w:val="24"/>
              </w:rPr>
            </w:pPr>
            <w:r>
              <w:rPr>
                <w:rFonts w:ascii="Arial" w:hAnsi="Arial" w:cs="Arial"/>
                <w:sz w:val="24"/>
                <w:szCs w:val="24"/>
              </w:rPr>
              <w:sym w:font="Wingdings" w:char="F0FC"/>
            </w:r>
          </w:p>
        </w:tc>
        <w:tc>
          <w:tcPr>
            <w:tcW w:w="1275" w:type="dxa"/>
            <w:shd w:val="pct5" w:color="auto" w:fill="auto"/>
          </w:tcPr>
          <w:p w:rsidR="003262C1" w:rsidRPr="003011EC" w:rsidRDefault="003262C1" w:rsidP="008C6BA4">
            <w:pPr>
              <w:rPr>
                <w:rFonts w:ascii="Arial" w:hAnsi="Arial" w:cs="Arial"/>
                <w:sz w:val="24"/>
                <w:szCs w:val="24"/>
              </w:rPr>
            </w:pPr>
          </w:p>
        </w:tc>
        <w:tc>
          <w:tcPr>
            <w:tcW w:w="1400" w:type="dxa"/>
            <w:shd w:val="pct5" w:color="auto" w:fill="auto"/>
          </w:tcPr>
          <w:p w:rsidR="003262C1" w:rsidRPr="003011EC" w:rsidRDefault="003262C1" w:rsidP="008C6BA4">
            <w:pPr>
              <w:rPr>
                <w:rFonts w:ascii="Arial" w:hAnsi="Arial" w:cs="Arial"/>
                <w:sz w:val="24"/>
                <w:szCs w:val="24"/>
              </w:rPr>
            </w:pPr>
          </w:p>
        </w:tc>
        <w:tc>
          <w:tcPr>
            <w:tcW w:w="6969" w:type="dxa"/>
          </w:tcPr>
          <w:p w:rsidR="003262C1" w:rsidRDefault="00156164" w:rsidP="008C6BA4">
            <w:pPr>
              <w:rPr>
                <w:szCs w:val="24"/>
              </w:rPr>
            </w:pPr>
            <w:r>
              <w:rPr>
                <w:szCs w:val="24"/>
              </w:rPr>
              <w:t>No evidence of adverse or more favourable impact identified</w:t>
            </w:r>
            <w:r w:rsidR="00511AE9">
              <w:rPr>
                <w:szCs w:val="24"/>
              </w:rPr>
              <w:t xml:space="preserve">. Anyone who is registered with an Oxfordshire GP could be considered for the pathway as long as they met the medical criteria of eligibility. </w:t>
            </w:r>
          </w:p>
          <w:p w:rsidR="00927177" w:rsidRDefault="00927177" w:rsidP="00927177">
            <w:pPr>
              <w:pStyle w:val="NoSpacing"/>
            </w:pPr>
            <w:r w:rsidRPr="00927177">
              <w:rPr>
                <w:szCs w:val="24"/>
              </w:rPr>
              <w:t>To ensure</w:t>
            </w:r>
            <w:r w:rsidR="00606FC5" w:rsidRPr="00927177">
              <w:rPr>
                <w:szCs w:val="24"/>
              </w:rPr>
              <w:t xml:space="preserve"> people in area</w:t>
            </w:r>
            <w:r w:rsidRPr="00927177">
              <w:rPr>
                <w:szCs w:val="24"/>
              </w:rPr>
              <w:t xml:space="preserve">s of socio-economic deprivation are not discriminated against, </w:t>
            </w:r>
            <w:r>
              <w:t>Diagnostics will take place in locations across the localities. All facilities will be accessible by public transport.</w:t>
            </w:r>
          </w:p>
          <w:p w:rsidR="00927177" w:rsidRPr="00927177" w:rsidRDefault="00927177" w:rsidP="00927177">
            <w:pPr>
              <w:pStyle w:val="NoSpacing"/>
              <w:rPr>
                <w:color w:val="FF0000"/>
              </w:rPr>
            </w:pPr>
          </w:p>
          <w:p w:rsidR="00606FC5" w:rsidRPr="00606FC5" w:rsidRDefault="006B18E0" w:rsidP="00927177">
            <w:pPr>
              <w:rPr>
                <w:rFonts w:ascii="Arial" w:hAnsi="Arial" w:cs="Arial"/>
                <w:color w:val="FF0000"/>
                <w:sz w:val="24"/>
                <w:szCs w:val="24"/>
              </w:rPr>
            </w:pPr>
            <w:r>
              <w:rPr>
                <w:szCs w:val="24"/>
              </w:rPr>
              <w:t>For</w:t>
            </w:r>
            <w:r w:rsidR="00927177" w:rsidRPr="00927177">
              <w:rPr>
                <w:szCs w:val="24"/>
              </w:rPr>
              <w:t xml:space="preserve"> patients requiring a carer; The carer is able to </w:t>
            </w:r>
            <w:r w:rsidR="00606FC5" w:rsidRPr="00927177">
              <w:rPr>
                <w:szCs w:val="24"/>
              </w:rPr>
              <w:t>accompany the cared for</w:t>
            </w:r>
            <w:r w:rsidR="00927177" w:rsidRPr="00927177">
              <w:rPr>
                <w:szCs w:val="24"/>
              </w:rPr>
              <w:t xml:space="preserve"> person into the treatment room.</w:t>
            </w:r>
          </w:p>
        </w:tc>
      </w:tr>
    </w:tbl>
    <w:p w:rsidR="003011EC" w:rsidRPr="003011EC" w:rsidRDefault="003011EC" w:rsidP="003011EC">
      <w:pPr>
        <w:rPr>
          <w:rFonts w:ascii="Arial" w:hAnsi="Arial" w:cs="Arial"/>
          <w:b/>
          <w:sz w:val="24"/>
          <w:szCs w:val="24"/>
        </w:rPr>
      </w:pPr>
    </w:p>
    <w:p w:rsidR="00AF75D6" w:rsidRDefault="00AF75D6" w:rsidP="003011EC">
      <w:pPr>
        <w:rPr>
          <w:rFonts w:ascii="Arial" w:hAnsi="Arial" w:cs="Arial"/>
          <w:b/>
          <w:sz w:val="24"/>
          <w:szCs w:val="24"/>
        </w:rPr>
      </w:pPr>
    </w:p>
    <w:p w:rsidR="006E656E" w:rsidRDefault="003011EC" w:rsidP="003011EC">
      <w:pPr>
        <w:rPr>
          <w:rFonts w:ascii="Arial" w:hAnsi="Arial" w:cs="Arial"/>
          <w:b/>
          <w:sz w:val="24"/>
          <w:szCs w:val="24"/>
        </w:rPr>
      </w:pPr>
      <w:r w:rsidRPr="003011EC">
        <w:rPr>
          <w:rFonts w:ascii="Arial" w:hAnsi="Arial" w:cs="Arial"/>
          <w:b/>
          <w:sz w:val="24"/>
          <w:szCs w:val="24"/>
        </w:rPr>
        <w:lastRenderedPageBreak/>
        <w:t xml:space="preserve">This Equality </w:t>
      </w:r>
      <w:r w:rsidR="006E656E">
        <w:rPr>
          <w:rFonts w:ascii="Arial" w:hAnsi="Arial" w:cs="Arial"/>
          <w:b/>
          <w:sz w:val="24"/>
          <w:szCs w:val="24"/>
        </w:rPr>
        <w:t xml:space="preserve">Analysis was completed by:  </w:t>
      </w:r>
    </w:p>
    <w:p w:rsidR="006E656E" w:rsidRPr="006E656E" w:rsidRDefault="006E656E" w:rsidP="006E656E">
      <w:pPr>
        <w:pStyle w:val="ListParagraph"/>
        <w:numPr>
          <w:ilvl w:val="0"/>
          <w:numId w:val="5"/>
        </w:numPr>
        <w:rPr>
          <w:rFonts w:ascii="Arial" w:hAnsi="Arial" w:cs="Arial"/>
          <w:b/>
          <w:sz w:val="24"/>
          <w:szCs w:val="24"/>
        </w:rPr>
      </w:pPr>
      <w:r w:rsidRPr="006E656E">
        <w:rPr>
          <w:rFonts w:ascii="Arial" w:hAnsi="Arial" w:cs="Arial"/>
          <w:b/>
          <w:sz w:val="24"/>
          <w:szCs w:val="24"/>
        </w:rPr>
        <w:t>Name</w:t>
      </w:r>
      <w:r w:rsidR="001C583A">
        <w:rPr>
          <w:rFonts w:ascii="Arial" w:hAnsi="Arial" w:cs="Arial"/>
          <w:b/>
          <w:sz w:val="24"/>
          <w:szCs w:val="24"/>
        </w:rPr>
        <w:t>:</w:t>
      </w:r>
      <w:r w:rsidR="002F5DB8">
        <w:rPr>
          <w:rFonts w:ascii="Arial" w:hAnsi="Arial" w:cs="Arial"/>
          <w:b/>
          <w:sz w:val="24"/>
          <w:szCs w:val="24"/>
        </w:rPr>
        <w:t xml:space="preserve"> Zoe Kaveney</w:t>
      </w:r>
    </w:p>
    <w:p w:rsidR="006E656E" w:rsidRPr="006E656E" w:rsidRDefault="006E656E" w:rsidP="006E656E">
      <w:pPr>
        <w:pStyle w:val="ListParagraph"/>
        <w:numPr>
          <w:ilvl w:val="0"/>
          <w:numId w:val="5"/>
        </w:numPr>
        <w:rPr>
          <w:rFonts w:ascii="Arial" w:hAnsi="Arial" w:cs="Arial"/>
          <w:sz w:val="24"/>
          <w:szCs w:val="24"/>
        </w:rPr>
      </w:pPr>
      <w:r>
        <w:rPr>
          <w:rFonts w:ascii="Arial" w:hAnsi="Arial" w:cs="Arial"/>
          <w:b/>
          <w:sz w:val="24"/>
          <w:szCs w:val="24"/>
        </w:rPr>
        <w:t>Directorate</w:t>
      </w:r>
      <w:r w:rsidR="001C583A">
        <w:rPr>
          <w:rFonts w:ascii="Arial" w:hAnsi="Arial" w:cs="Arial"/>
          <w:b/>
          <w:sz w:val="24"/>
          <w:szCs w:val="24"/>
        </w:rPr>
        <w:t>:</w:t>
      </w:r>
      <w:r w:rsidR="002F5DB8">
        <w:rPr>
          <w:rFonts w:ascii="Arial" w:hAnsi="Arial" w:cs="Arial"/>
          <w:b/>
          <w:sz w:val="24"/>
          <w:szCs w:val="24"/>
        </w:rPr>
        <w:t xml:space="preserve"> Delivery and Localities</w:t>
      </w:r>
    </w:p>
    <w:p w:rsidR="006E656E" w:rsidRPr="006E656E" w:rsidRDefault="001C583A" w:rsidP="006E656E">
      <w:pPr>
        <w:pStyle w:val="ListParagraph"/>
        <w:numPr>
          <w:ilvl w:val="0"/>
          <w:numId w:val="5"/>
        </w:numPr>
        <w:rPr>
          <w:rFonts w:ascii="Arial" w:hAnsi="Arial" w:cs="Arial"/>
          <w:sz w:val="24"/>
          <w:szCs w:val="24"/>
        </w:rPr>
      </w:pPr>
      <w:r>
        <w:rPr>
          <w:rFonts w:ascii="Arial" w:hAnsi="Arial" w:cs="Arial"/>
          <w:b/>
          <w:sz w:val="24"/>
          <w:szCs w:val="24"/>
        </w:rPr>
        <w:t>Lead Director:</w:t>
      </w:r>
      <w:r w:rsidR="006B452F">
        <w:rPr>
          <w:rFonts w:ascii="Arial" w:hAnsi="Arial" w:cs="Arial"/>
          <w:b/>
          <w:sz w:val="24"/>
          <w:szCs w:val="24"/>
        </w:rPr>
        <w:t xml:space="preserve"> </w:t>
      </w:r>
      <w:r w:rsidR="0085336A">
        <w:rPr>
          <w:rFonts w:ascii="Arial" w:hAnsi="Arial" w:cs="Arial"/>
          <w:b/>
          <w:sz w:val="24"/>
          <w:szCs w:val="24"/>
        </w:rPr>
        <w:t>Diane Hedges</w:t>
      </w:r>
    </w:p>
    <w:p w:rsidR="006E656E" w:rsidRPr="001C583A" w:rsidRDefault="006E656E" w:rsidP="006E656E">
      <w:pPr>
        <w:pStyle w:val="ListParagraph"/>
        <w:numPr>
          <w:ilvl w:val="0"/>
          <w:numId w:val="5"/>
        </w:numPr>
        <w:rPr>
          <w:rFonts w:ascii="Arial" w:hAnsi="Arial" w:cs="Arial"/>
          <w:sz w:val="24"/>
          <w:szCs w:val="24"/>
        </w:rPr>
      </w:pPr>
      <w:r>
        <w:rPr>
          <w:rFonts w:ascii="Arial" w:hAnsi="Arial" w:cs="Arial"/>
          <w:b/>
          <w:sz w:val="24"/>
          <w:szCs w:val="24"/>
        </w:rPr>
        <w:t>Date</w:t>
      </w:r>
      <w:r w:rsidR="001C583A">
        <w:rPr>
          <w:rFonts w:ascii="Arial" w:hAnsi="Arial" w:cs="Arial"/>
          <w:b/>
          <w:sz w:val="24"/>
          <w:szCs w:val="24"/>
        </w:rPr>
        <w:t xml:space="preserve"> submitted</w:t>
      </w:r>
      <w:r>
        <w:rPr>
          <w:rFonts w:ascii="Arial" w:hAnsi="Arial" w:cs="Arial"/>
          <w:b/>
          <w:sz w:val="24"/>
          <w:szCs w:val="24"/>
        </w:rPr>
        <w:t>:</w:t>
      </w:r>
      <w:r w:rsidR="006B18E0">
        <w:rPr>
          <w:rFonts w:ascii="Arial" w:hAnsi="Arial" w:cs="Arial"/>
          <w:b/>
          <w:sz w:val="24"/>
          <w:szCs w:val="24"/>
        </w:rPr>
        <w:t xml:space="preserve"> xx/0x</w:t>
      </w:r>
      <w:r w:rsidR="0085336A">
        <w:rPr>
          <w:rFonts w:ascii="Arial" w:hAnsi="Arial" w:cs="Arial"/>
          <w:b/>
          <w:sz w:val="24"/>
          <w:szCs w:val="24"/>
        </w:rPr>
        <w:t>/2016</w:t>
      </w:r>
    </w:p>
    <w:p w:rsidR="001C583A" w:rsidRDefault="001C583A" w:rsidP="006E656E">
      <w:pPr>
        <w:pStyle w:val="ListParagraph"/>
        <w:numPr>
          <w:ilvl w:val="0"/>
          <w:numId w:val="5"/>
        </w:numPr>
        <w:rPr>
          <w:rFonts w:ascii="Arial" w:hAnsi="Arial" w:cs="Arial"/>
          <w:sz w:val="24"/>
          <w:szCs w:val="24"/>
        </w:rPr>
      </w:pPr>
      <w:r>
        <w:rPr>
          <w:rFonts w:ascii="Arial" w:hAnsi="Arial" w:cs="Arial"/>
          <w:b/>
          <w:sz w:val="24"/>
          <w:szCs w:val="24"/>
        </w:rPr>
        <w:t xml:space="preserve">Submitted to: </w:t>
      </w:r>
      <w:r w:rsidRPr="001C583A">
        <w:rPr>
          <w:rFonts w:ascii="Arial" w:hAnsi="Arial" w:cs="Arial"/>
          <w:sz w:val="24"/>
          <w:szCs w:val="24"/>
        </w:rPr>
        <w:t>PMO</w:t>
      </w:r>
      <w:r w:rsidR="0085336A">
        <w:rPr>
          <w:rFonts w:ascii="Arial" w:hAnsi="Arial" w:cs="Arial"/>
          <w:sz w:val="24"/>
          <w:szCs w:val="24"/>
        </w:rPr>
        <w:t xml:space="preserve"> / IG Team</w:t>
      </w:r>
    </w:p>
    <w:p w:rsidR="005407B2" w:rsidRPr="006E656E" w:rsidRDefault="005407B2" w:rsidP="006E656E">
      <w:pPr>
        <w:pStyle w:val="ListParagraph"/>
        <w:numPr>
          <w:ilvl w:val="0"/>
          <w:numId w:val="5"/>
        </w:numPr>
        <w:rPr>
          <w:rFonts w:ascii="Arial" w:hAnsi="Arial" w:cs="Arial"/>
          <w:sz w:val="24"/>
          <w:szCs w:val="24"/>
        </w:rPr>
      </w:pPr>
      <w:r>
        <w:rPr>
          <w:rFonts w:ascii="Arial" w:hAnsi="Arial" w:cs="Arial"/>
          <w:b/>
          <w:sz w:val="24"/>
          <w:szCs w:val="24"/>
        </w:rPr>
        <w:t>Review date:</w:t>
      </w:r>
      <w:r w:rsidR="006B18E0">
        <w:rPr>
          <w:rFonts w:ascii="Arial" w:hAnsi="Arial" w:cs="Arial"/>
          <w:b/>
          <w:sz w:val="24"/>
          <w:szCs w:val="24"/>
        </w:rPr>
        <w:t xml:space="preserve"> xx/xx</w:t>
      </w:r>
      <w:r w:rsidR="0085336A">
        <w:rPr>
          <w:rFonts w:ascii="Arial" w:hAnsi="Arial" w:cs="Arial"/>
          <w:b/>
          <w:sz w:val="24"/>
          <w:szCs w:val="24"/>
        </w:rPr>
        <w:t>/2017</w:t>
      </w:r>
    </w:p>
    <w:p w:rsidR="003011EC" w:rsidRPr="006E656E" w:rsidRDefault="003011EC" w:rsidP="006E656E">
      <w:pPr>
        <w:pStyle w:val="ListParagraph"/>
        <w:numPr>
          <w:ilvl w:val="0"/>
          <w:numId w:val="5"/>
        </w:numPr>
        <w:rPr>
          <w:rFonts w:ascii="Arial" w:hAnsi="Arial" w:cs="Arial"/>
          <w:sz w:val="24"/>
          <w:szCs w:val="24"/>
        </w:rPr>
      </w:pPr>
      <w:r w:rsidRPr="006E656E">
        <w:rPr>
          <w:rFonts w:ascii="Arial" w:hAnsi="Arial" w:cs="Arial"/>
          <w:sz w:val="24"/>
          <w:szCs w:val="24"/>
        </w:rPr>
        <w:br w:type="page"/>
      </w:r>
    </w:p>
    <w:tbl>
      <w:tblPr>
        <w:tblStyle w:val="TableGrid"/>
        <w:tblW w:w="15404" w:type="dxa"/>
        <w:tblInd w:w="-601" w:type="dxa"/>
        <w:tblLook w:val="04A0" w:firstRow="1" w:lastRow="0" w:firstColumn="1" w:lastColumn="0" w:noHBand="0" w:noVBand="1"/>
      </w:tblPr>
      <w:tblGrid>
        <w:gridCol w:w="4542"/>
        <w:gridCol w:w="6373"/>
        <w:gridCol w:w="1675"/>
        <w:gridCol w:w="1536"/>
        <w:gridCol w:w="1278"/>
      </w:tblGrid>
      <w:tr w:rsidR="003011EC" w:rsidRPr="003011EC" w:rsidTr="002953DB">
        <w:tc>
          <w:tcPr>
            <w:tcW w:w="15404" w:type="dxa"/>
            <w:gridSpan w:val="5"/>
            <w:tcBorders>
              <w:bottom w:val="single" w:sz="4" w:space="0" w:color="auto"/>
            </w:tcBorders>
            <w:shd w:val="clear" w:color="auto" w:fill="DBE5F1" w:themeFill="accent1" w:themeFillTint="33"/>
          </w:tcPr>
          <w:p w:rsidR="003011EC" w:rsidRPr="003011EC" w:rsidRDefault="003011EC" w:rsidP="008C6BA4">
            <w:pPr>
              <w:jc w:val="center"/>
              <w:rPr>
                <w:rFonts w:ascii="Arial" w:hAnsi="Arial" w:cs="Arial"/>
                <w:b/>
                <w:sz w:val="24"/>
                <w:szCs w:val="24"/>
              </w:rPr>
            </w:pPr>
            <w:r w:rsidRPr="003011EC">
              <w:rPr>
                <w:rFonts w:ascii="Arial" w:hAnsi="Arial" w:cs="Arial"/>
                <w:b/>
                <w:sz w:val="24"/>
                <w:szCs w:val="24"/>
              </w:rPr>
              <w:lastRenderedPageBreak/>
              <w:t xml:space="preserve">Action Planning: </w:t>
            </w:r>
          </w:p>
        </w:tc>
      </w:tr>
      <w:tr w:rsidR="003011EC" w:rsidRPr="003011EC" w:rsidTr="002953DB">
        <w:tc>
          <w:tcPr>
            <w:tcW w:w="15404" w:type="dxa"/>
            <w:gridSpan w:val="5"/>
            <w:tcBorders>
              <w:bottom w:val="single" w:sz="4" w:space="0" w:color="auto"/>
            </w:tcBorders>
            <w:shd w:val="pct12" w:color="auto" w:fill="auto"/>
          </w:tcPr>
          <w:p w:rsidR="003011EC" w:rsidRPr="003011EC" w:rsidRDefault="003011EC" w:rsidP="00345D59">
            <w:pPr>
              <w:rPr>
                <w:rFonts w:ascii="Arial" w:hAnsi="Arial" w:cs="Arial"/>
                <w:b/>
                <w:sz w:val="24"/>
                <w:szCs w:val="24"/>
              </w:rPr>
            </w:pPr>
            <w:r w:rsidRPr="003011EC">
              <w:rPr>
                <w:rFonts w:ascii="Arial" w:hAnsi="Arial" w:cs="Arial"/>
                <w:b/>
                <w:sz w:val="24"/>
                <w:szCs w:val="24"/>
              </w:rPr>
              <w:t xml:space="preserve">As a result of performing this analysis, what actions are proposed to </w:t>
            </w:r>
            <w:r w:rsidR="00345D59">
              <w:rPr>
                <w:rFonts w:ascii="Arial" w:hAnsi="Arial" w:cs="Arial"/>
                <w:b/>
                <w:sz w:val="24"/>
                <w:szCs w:val="24"/>
              </w:rPr>
              <w:t xml:space="preserve">remove or reduce any risks of </w:t>
            </w:r>
            <w:r w:rsidRPr="003011EC">
              <w:rPr>
                <w:rFonts w:ascii="Arial" w:hAnsi="Arial" w:cs="Arial"/>
                <w:b/>
                <w:sz w:val="24"/>
                <w:szCs w:val="24"/>
              </w:rPr>
              <w:t xml:space="preserve">adverse outcomes identified on employees, service users or other people who share characteristics </w:t>
            </w:r>
            <w:r w:rsidR="00345D59">
              <w:rPr>
                <w:rFonts w:ascii="Arial" w:hAnsi="Arial" w:cs="Arial"/>
                <w:b/>
                <w:sz w:val="24"/>
                <w:szCs w:val="24"/>
              </w:rPr>
              <w:t>p</w:t>
            </w:r>
            <w:r w:rsidRPr="003011EC">
              <w:rPr>
                <w:rFonts w:ascii="Arial" w:hAnsi="Arial" w:cs="Arial"/>
                <w:b/>
                <w:sz w:val="24"/>
                <w:szCs w:val="24"/>
              </w:rPr>
              <w:t xml:space="preserve">rotected by </w:t>
            </w:r>
            <w:r w:rsidRPr="003011EC">
              <w:rPr>
                <w:rFonts w:ascii="Arial" w:hAnsi="Arial" w:cs="Arial"/>
                <w:b/>
                <w:i/>
                <w:sz w:val="24"/>
                <w:szCs w:val="24"/>
              </w:rPr>
              <w:t>The Equality Act 2010</w:t>
            </w:r>
            <w:r w:rsidRPr="003011EC">
              <w:rPr>
                <w:rFonts w:ascii="Arial" w:hAnsi="Arial" w:cs="Arial"/>
                <w:b/>
                <w:sz w:val="24"/>
                <w:szCs w:val="24"/>
              </w:rPr>
              <w:t xml:space="preserve">?    </w:t>
            </w:r>
          </w:p>
        </w:tc>
      </w:tr>
      <w:tr w:rsidR="00156E06" w:rsidRPr="003011EC" w:rsidTr="002953DB">
        <w:tc>
          <w:tcPr>
            <w:tcW w:w="4542"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Identified Risk:</w:t>
            </w:r>
          </w:p>
          <w:p w:rsidR="003011EC" w:rsidRPr="003011EC" w:rsidRDefault="003011EC" w:rsidP="003262C1">
            <w:pPr>
              <w:jc w:val="center"/>
              <w:rPr>
                <w:rFonts w:ascii="Arial" w:hAnsi="Arial" w:cs="Arial"/>
                <w:b/>
                <w:sz w:val="24"/>
                <w:szCs w:val="24"/>
              </w:rPr>
            </w:pPr>
          </w:p>
        </w:tc>
        <w:tc>
          <w:tcPr>
            <w:tcW w:w="6373"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Recommended Actions:</w:t>
            </w:r>
          </w:p>
        </w:tc>
        <w:tc>
          <w:tcPr>
            <w:tcW w:w="1675"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Responsible Lead:</w:t>
            </w:r>
          </w:p>
        </w:tc>
        <w:tc>
          <w:tcPr>
            <w:tcW w:w="1536"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b/>
                <w:sz w:val="24"/>
                <w:szCs w:val="24"/>
              </w:rPr>
            </w:pPr>
            <w:r w:rsidRPr="003011EC">
              <w:rPr>
                <w:rFonts w:ascii="Arial" w:hAnsi="Arial" w:cs="Arial"/>
                <w:b/>
                <w:sz w:val="24"/>
                <w:szCs w:val="24"/>
              </w:rPr>
              <w:t>Completion Date:</w:t>
            </w:r>
          </w:p>
          <w:p w:rsidR="003011EC" w:rsidRPr="003011EC" w:rsidRDefault="003011EC" w:rsidP="003262C1">
            <w:pPr>
              <w:jc w:val="center"/>
              <w:rPr>
                <w:rFonts w:ascii="Arial" w:hAnsi="Arial" w:cs="Arial"/>
                <w:b/>
                <w:sz w:val="24"/>
                <w:szCs w:val="24"/>
              </w:rPr>
            </w:pPr>
          </w:p>
        </w:tc>
        <w:tc>
          <w:tcPr>
            <w:tcW w:w="1278" w:type="dxa"/>
            <w:shd w:val="clear" w:color="auto" w:fill="auto"/>
          </w:tcPr>
          <w:p w:rsidR="003011EC" w:rsidRPr="003011EC" w:rsidRDefault="003011EC" w:rsidP="003262C1">
            <w:pPr>
              <w:jc w:val="center"/>
              <w:rPr>
                <w:rFonts w:ascii="Arial" w:hAnsi="Arial" w:cs="Arial"/>
                <w:b/>
                <w:sz w:val="24"/>
                <w:szCs w:val="24"/>
              </w:rPr>
            </w:pPr>
          </w:p>
          <w:p w:rsidR="003011EC" w:rsidRPr="003011EC" w:rsidRDefault="003011EC" w:rsidP="003262C1">
            <w:pPr>
              <w:jc w:val="center"/>
              <w:rPr>
                <w:rFonts w:ascii="Arial" w:hAnsi="Arial" w:cs="Arial"/>
                <w:sz w:val="24"/>
                <w:szCs w:val="24"/>
              </w:rPr>
            </w:pPr>
            <w:r w:rsidRPr="003011EC">
              <w:rPr>
                <w:rFonts w:ascii="Arial" w:hAnsi="Arial" w:cs="Arial"/>
                <w:b/>
                <w:sz w:val="24"/>
                <w:szCs w:val="24"/>
              </w:rPr>
              <w:t>Review Date:</w:t>
            </w:r>
          </w:p>
        </w:tc>
      </w:tr>
      <w:tr w:rsidR="00156E06" w:rsidRPr="003011EC" w:rsidTr="002953DB">
        <w:tc>
          <w:tcPr>
            <w:tcW w:w="4542" w:type="dxa"/>
            <w:shd w:val="clear" w:color="auto" w:fill="auto"/>
          </w:tcPr>
          <w:p w:rsidR="003011EC" w:rsidRPr="00871F7E" w:rsidRDefault="005F4AD3" w:rsidP="008C6BA4">
            <w:pPr>
              <w:rPr>
                <w:rFonts w:ascii="Calibri" w:hAnsi="Calibri" w:cs="Arial"/>
                <w:szCs w:val="24"/>
              </w:rPr>
            </w:pPr>
            <w:r w:rsidRPr="005F4AD3">
              <w:rPr>
                <w:rFonts w:ascii="Calibri" w:hAnsi="Calibri" w:cs="Arial"/>
                <w:szCs w:val="24"/>
              </w:rPr>
              <w:t>Potential adverse indirect discrimination</w:t>
            </w:r>
            <w:r>
              <w:rPr>
                <w:rFonts w:ascii="Calibri" w:hAnsi="Calibri" w:cs="Arial"/>
                <w:szCs w:val="24"/>
              </w:rPr>
              <w:t xml:space="preserve"> by race (language barrier)</w:t>
            </w:r>
          </w:p>
        </w:tc>
        <w:tc>
          <w:tcPr>
            <w:tcW w:w="6373" w:type="dxa"/>
            <w:shd w:val="clear" w:color="auto" w:fill="auto"/>
          </w:tcPr>
          <w:p w:rsidR="003011EC" w:rsidRPr="00156164" w:rsidRDefault="00156164" w:rsidP="00156164">
            <w:pPr>
              <w:tabs>
                <w:tab w:val="left" w:pos="1185"/>
              </w:tabs>
              <w:rPr>
                <w:rFonts w:ascii="Arial" w:hAnsi="Arial" w:cs="Arial"/>
                <w:sz w:val="24"/>
                <w:szCs w:val="24"/>
              </w:rPr>
            </w:pPr>
            <w:r>
              <w:rPr>
                <w:szCs w:val="24"/>
              </w:rPr>
              <w:t xml:space="preserve">To mitigate the risk of inequality for this group of patients, </w:t>
            </w:r>
            <w:r w:rsidRPr="003845AC">
              <w:rPr>
                <w:szCs w:val="24"/>
              </w:rPr>
              <w:t xml:space="preserve">Staff </w:t>
            </w:r>
            <w:proofErr w:type="gramStart"/>
            <w:r w:rsidR="004564F1">
              <w:rPr>
                <w:szCs w:val="24"/>
              </w:rPr>
              <w:t>need</w:t>
            </w:r>
            <w:proofErr w:type="gramEnd"/>
            <w:r w:rsidRPr="003845AC">
              <w:rPr>
                <w:szCs w:val="24"/>
              </w:rPr>
              <w:t xml:space="preserve"> to</w:t>
            </w:r>
            <w:r>
              <w:rPr>
                <w:szCs w:val="24"/>
              </w:rPr>
              <w:t xml:space="preserve"> be proficient in the</w:t>
            </w:r>
            <w:r w:rsidRPr="003845AC">
              <w:rPr>
                <w:szCs w:val="24"/>
              </w:rPr>
              <w:t xml:space="preserve"> use</w:t>
            </w:r>
            <w:r>
              <w:rPr>
                <w:szCs w:val="24"/>
              </w:rPr>
              <w:t xml:space="preserve"> of</w:t>
            </w:r>
            <w:r w:rsidRPr="003845AC">
              <w:rPr>
                <w:szCs w:val="24"/>
              </w:rPr>
              <w:t xml:space="preserve"> the </w:t>
            </w:r>
            <w:r w:rsidR="00393D1A">
              <w:rPr>
                <w:szCs w:val="24"/>
              </w:rPr>
              <w:t xml:space="preserve">telephony interpreting service. </w:t>
            </w:r>
            <w:r>
              <w:rPr>
                <w:szCs w:val="24"/>
              </w:rPr>
              <w:t xml:space="preserve"> All staff</w:t>
            </w:r>
            <w:r w:rsidR="008843B8">
              <w:rPr>
                <w:szCs w:val="24"/>
              </w:rPr>
              <w:t xml:space="preserve"> </w:t>
            </w:r>
            <w:r w:rsidR="008843B8">
              <w:rPr>
                <w:strike/>
                <w:color w:val="FF0000"/>
                <w:szCs w:val="24"/>
              </w:rPr>
              <w:t xml:space="preserve"> </w:t>
            </w:r>
            <w:r w:rsidRPr="00AF75D6">
              <w:rPr>
                <w:strike/>
                <w:color w:val="FF0000"/>
                <w:szCs w:val="24"/>
              </w:rPr>
              <w:t xml:space="preserve"> </w:t>
            </w:r>
            <w:r w:rsidR="004564F1">
              <w:rPr>
                <w:szCs w:val="24"/>
              </w:rPr>
              <w:t>that</w:t>
            </w:r>
            <w:r>
              <w:rPr>
                <w:szCs w:val="24"/>
              </w:rPr>
              <w:t xml:space="preserve"> </w:t>
            </w:r>
            <w:proofErr w:type="gramStart"/>
            <w:r>
              <w:rPr>
                <w:szCs w:val="24"/>
              </w:rPr>
              <w:t>are</w:t>
            </w:r>
            <w:proofErr w:type="gramEnd"/>
            <w:r>
              <w:rPr>
                <w:szCs w:val="24"/>
              </w:rPr>
              <w:t xml:space="preserve"> not familiar with using this service will be given advice/ training on how to access it.</w:t>
            </w:r>
          </w:p>
        </w:tc>
        <w:tc>
          <w:tcPr>
            <w:tcW w:w="1675" w:type="dxa"/>
            <w:shd w:val="clear" w:color="auto" w:fill="auto"/>
          </w:tcPr>
          <w:p w:rsidR="00156E06" w:rsidRDefault="004564F1" w:rsidP="004564F1">
            <w:pPr>
              <w:jc w:val="center"/>
              <w:rPr>
                <w:rFonts w:ascii="Calibri" w:hAnsi="Calibri" w:cs="Arial"/>
                <w:sz w:val="24"/>
                <w:szCs w:val="24"/>
              </w:rPr>
            </w:pPr>
            <w:r>
              <w:rPr>
                <w:rFonts w:ascii="Calibri" w:hAnsi="Calibri" w:cs="Arial"/>
                <w:sz w:val="24"/>
                <w:szCs w:val="24"/>
              </w:rPr>
              <w:t>Richard Wood</w:t>
            </w:r>
          </w:p>
          <w:p w:rsidR="004564F1" w:rsidRPr="005F4AD3" w:rsidRDefault="004564F1" w:rsidP="004564F1">
            <w:pPr>
              <w:jc w:val="center"/>
              <w:rPr>
                <w:rFonts w:ascii="Calibri" w:hAnsi="Calibri" w:cs="Arial"/>
                <w:sz w:val="24"/>
                <w:szCs w:val="24"/>
              </w:rPr>
            </w:pPr>
            <w:r>
              <w:rPr>
                <w:rFonts w:ascii="Calibri" w:hAnsi="Calibri" w:cs="Arial"/>
                <w:sz w:val="24"/>
                <w:szCs w:val="24"/>
              </w:rPr>
              <w:t>OCCG</w:t>
            </w:r>
          </w:p>
        </w:tc>
        <w:tc>
          <w:tcPr>
            <w:tcW w:w="1536" w:type="dxa"/>
            <w:shd w:val="clear" w:color="auto" w:fill="auto"/>
          </w:tcPr>
          <w:p w:rsidR="003011EC" w:rsidRPr="00156E06" w:rsidRDefault="004564F1" w:rsidP="008C6BA4">
            <w:pPr>
              <w:rPr>
                <w:rFonts w:ascii="Calibri" w:hAnsi="Calibri" w:cs="Arial"/>
                <w:sz w:val="24"/>
                <w:szCs w:val="24"/>
              </w:rPr>
            </w:pPr>
            <w:r>
              <w:rPr>
                <w:rFonts w:ascii="Calibri" w:hAnsi="Calibri" w:cs="Arial"/>
                <w:szCs w:val="24"/>
              </w:rPr>
              <w:t>01/11</w:t>
            </w:r>
            <w:r w:rsidR="00156E06" w:rsidRPr="00156E06">
              <w:rPr>
                <w:rFonts w:ascii="Calibri" w:hAnsi="Calibri" w:cs="Arial"/>
                <w:szCs w:val="24"/>
              </w:rPr>
              <w:t>/2016</w:t>
            </w:r>
          </w:p>
        </w:tc>
        <w:tc>
          <w:tcPr>
            <w:tcW w:w="1278" w:type="dxa"/>
            <w:shd w:val="clear" w:color="auto" w:fill="auto"/>
          </w:tcPr>
          <w:p w:rsidR="003011EC" w:rsidRPr="00156E06" w:rsidRDefault="004564F1" w:rsidP="008C6BA4">
            <w:pPr>
              <w:rPr>
                <w:rFonts w:cs="Arial"/>
                <w:sz w:val="24"/>
                <w:szCs w:val="24"/>
              </w:rPr>
            </w:pPr>
            <w:r>
              <w:rPr>
                <w:rFonts w:cs="Arial"/>
                <w:szCs w:val="24"/>
              </w:rPr>
              <w:t>01/01/2017</w:t>
            </w:r>
          </w:p>
        </w:tc>
      </w:tr>
      <w:tr w:rsidR="00156E06" w:rsidRPr="003011EC" w:rsidTr="002953DB">
        <w:tc>
          <w:tcPr>
            <w:tcW w:w="4542" w:type="dxa"/>
            <w:shd w:val="clear" w:color="auto" w:fill="auto"/>
          </w:tcPr>
          <w:p w:rsidR="00156E06" w:rsidRPr="00871F7E" w:rsidRDefault="00156E06" w:rsidP="008C6BA4">
            <w:pPr>
              <w:rPr>
                <w:rFonts w:cs="Arial"/>
                <w:szCs w:val="24"/>
              </w:rPr>
            </w:pPr>
            <w:r w:rsidRPr="005F4AD3">
              <w:rPr>
                <w:rFonts w:cs="Arial"/>
                <w:szCs w:val="24"/>
              </w:rPr>
              <w:t xml:space="preserve">Direct discrimination to </w:t>
            </w:r>
            <w:r>
              <w:rPr>
                <w:rFonts w:cs="Arial"/>
                <w:szCs w:val="24"/>
              </w:rPr>
              <w:t xml:space="preserve">access </w:t>
            </w:r>
            <w:r w:rsidRPr="005F4AD3">
              <w:rPr>
                <w:rFonts w:cs="Arial"/>
                <w:szCs w:val="24"/>
              </w:rPr>
              <w:t>by gender and pregnancy</w:t>
            </w:r>
            <w:r>
              <w:rPr>
                <w:rFonts w:cs="Arial"/>
                <w:szCs w:val="24"/>
              </w:rPr>
              <w:t xml:space="preserve"> -</w:t>
            </w:r>
            <w:r w:rsidR="004564F1">
              <w:rPr>
                <w:szCs w:val="24"/>
              </w:rPr>
              <w:t xml:space="preserve"> Some diagnostics i.e. S</w:t>
            </w:r>
            <w:r>
              <w:rPr>
                <w:szCs w:val="24"/>
              </w:rPr>
              <w:t>canning may not be available to pregnant women as it may pose a threat to the unborn child.</w:t>
            </w:r>
          </w:p>
        </w:tc>
        <w:tc>
          <w:tcPr>
            <w:tcW w:w="6373" w:type="dxa"/>
            <w:shd w:val="clear" w:color="auto" w:fill="auto"/>
          </w:tcPr>
          <w:p w:rsidR="00156E06" w:rsidRPr="003011EC" w:rsidRDefault="00156E06" w:rsidP="00871F7E">
            <w:pPr>
              <w:rPr>
                <w:rFonts w:ascii="Arial" w:hAnsi="Arial" w:cs="Arial"/>
                <w:b/>
                <w:sz w:val="24"/>
                <w:szCs w:val="24"/>
              </w:rPr>
            </w:pPr>
            <w:r>
              <w:rPr>
                <w:szCs w:val="24"/>
              </w:rPr>
              <w:t xml:space="preserve">This discrimination is unavoidable as it is due to clinical safety guidelines and so will be reviewed on a case by case basis. </w:t>
            </w:r>
          </w:p>
        </w:tc>
        <w:tc>
          <w:tcPr>
            <w:tcW w:w="1675" w:type="dxa"/>
            <w:shd w:val="clear" w:color="auto" w:fill="auto"/>
          </w:tcPr>
          <w:p w:rsidR="004564F1" w:rsidRDefault="004564F1" w:rsidP="004564F1">
            <w:pPr>
              <w:jc w:val="center"/>
              <w:rPr>
                <w:rFonts w:ascii="Calibri" w:hAnsi="Calibri" w:cs="Arial"/>
                <w:sz w:val="24"/>
                <w:szCs w:val="24"/>
              </w:rPr>
            </w:pPr>
            <w:r>
              <w:rPr>
                <w:rFonts w:ascii="Calibri" w:hAnsi="Calibri" w:cs="Arial"/>
                <w:sz w:val="24"/>
                <w:szCs w:val="24"/>
              </w:rPr>
              <w:t>Richard Wood</w:t>
            </w:r>
          </w:p>
          <w:p w:rsidR="00156E06" w:rsidRPr="003011EC" w:rsidRDefault="004564F1" w:rsidP="004564F1">
            <w:pPr>
              <w:jc w:val="center"/>
              <w:rPr>
                <w:rFonts w:ascii="Arial" w:hAnsi="Arial" w:cs="Arial"/>
                <w:b/>
                <w:sz w:val="24"/>
                <w:szCs w:val="24"/>
              </w:rPr>
            </w:pPr>
            <w:r>
              <w:rPr>
                <w:rFonts w:ascii="Calibri" w:hAnsi="Calibri" w:cs="Arial"/>
                <w:sz w:val="24"/>
                <w:szCs w:val="24"/>
              </w:rPr>
              <w:t>OCCG</w:t>
            </w:r>
          </w:p>
        </w:tc>
        <w:tc>
          <w:tcPr>
            <w:tcW w:w="1536" w:type="dxa"/>
            <w:shd w:val="clear" w:color="auto" w:fill="auto"/>
          </w:tcPr>
          <w:p w:rsidR="00156E06" w:rsidRPr="00156E06" w:rsidRDefault="004564F1" w:rsidP="008D5E7D">
            <w:pPr>
              <w:rPr>
                <w:rFonts w:ascii="Calibri" w:hAnsi="Calibri" w:cs="Arial"/>
                <w:sz w:val="24"/>
                <w:szCs w:val="24"/>
              </w:rPr>
            </w:pPr>
            <w:r>
              <w:rPr>
                <w:rFonts w:ascii="Calibri" w:hAnsi="Calibri" w:cs="Arial"/>
                <w:szCs w:val="24"/>
              </w:rPr>
              <w:t>01/11</w:t>
            </w:r>
            <w:r w:rsidR="00156E06" w:rsidRPr="00156E06">
              <w:rPr>
                <w:rFonts w:ascii="Calibri" w:hAnsi="Calibri" w:cs="Arial"/>
                <w:szCs w:val="24"/>
              </w:rPr>
              <w:t>/2016</w:t>
            </w:r>
          </w:p>
        </w:tc>
        <w:tc>
          <w:tcPr>
            <w:tcW w:w="1278" w:type="dxa"/>
            <w:shd w:val="clear" w:color="auto" w:fill="auto"/>
          </w:tcPr>
          <w:p w:rsidR="00156E06" w:rsidRPr="00156E06" w:rsidRDefault="004564F1" w:rsidP="008D5E7D">
            <w:pPr>
              <w:rPr>
                <w:rFonts w:cs="Arial"/>
                <w:sz w:val="24"/>
                <w:szCs w:val="24"/>
              </w:rPr>
            </w:pPr>
            <w:r>
              <w:rPr>
                <w:rFonts w:cs="Arial"/>
                <w:szCs w:val="24"/>
              </w:rPr>
              <w:t>01/01/2017</w:t>
            </w:r>
          </w:p>
        </w:tc>
      </w:tr>
      <w:tr w:rsidR="00D74905" w:rsidRPr="003011EC" w:rsidTr="002953DB">
        <w:tc>
          <w:tcPr>
            <w:tcW w:w="4542" w:type="dxa"/>
            <w:shd w:val="clear" w:color="auto" w:fill="auto"/>
          </w:tcPr>
          <w:p w:rsidR="00D74905" w:rsidRPr="00156E06" w:rsidRDefault="00D74905" w:rsidP="008C6BA4">
            <w:pPr>
              <w:rPr>
                <w:rFonts w:cs="Arial"/>
                <w:szCs w:val="24"/>
              </w:rPr>
            </w:pPr>
            <w:r>
              <w:rPr>
                <w:rFonts w:cs="Arial"/>
                <w:szCs w:val="24"/>
              </w:rPr>
              <w:t xml:space="preserve">Potential impact for any staff from the nine protected characteristic groups, who may have to relocate to </w:t>
            </w:r>
            <w:r w:rsidR="004E618A">
              <w:rPr>
                <w:rFonts w:cs="Arial"/>
                <w:szCs w:val="24"/>
              </w:rPr>
              <w:t xml:space="preserve">a </w:t>
            </w:r>
            <w:r>
              <w:rPr>
                <w:rFonts w:cs="Arial"/>
                <w:szCs w:val="24"/>
              </w:rPr>
              <w:t xml:space="preserve">different working site. </w:t>
            </w:r>
          </w:p>
        </w:tc>
        <w:tc>
          <w:tcPr>
            <w:tcW w:w="6373" w:type="dxa"/>
            <w:shd w:val="clear" w:color="auto" w:fill="auto"/>
          </w:tcPr>
          <w:p w:rsidR="00D74905" w:rsidRPr="003845AC" w:rsidRDefault="00D74905" w:rsidP="00156E06">
            <w:pPr>
              <w:ind w:right="379"/>
              <w:rPr>
                <w:szCs w:val="24"/>
              </w:rPr>
            </w:pPr>
            <w:r>
              <w:rPr>
                <w:szCs w:val="24"/>
              </w:rPr>
              <w:t>Employing</w:t>
            </w:r>
            <w:r w:rsidR="004E618A">
              <w:rPr>
                <w:szCs w:val="24"/>
              </w:rPr>
              <w:t xml:space="preserve"> organisations should ensure appropriate adherence to HR policies.</w:t>
            </w:r>
          </w:p>
        </w:tc>
        <w:tc>
          <w:tcPr>
            <w:tcW w:w="1675" w:type="dxa"/>
            <w:shd w:val="clear" w:color="auto" w:fill="auto"/>
          </w:tcPr>
          <w:p w:rsidR="00D74905" w:rsidRPr="00156E06" w:rsidRDefault="004E618A" w:rsidP="004E618A">
            <w:pPr>
              <w:spacing w:after="0" w:line="240" w:lineRule="auto"/>
              <w:rPr>
                <w:rFonts w:cs="Arial"/>
                <w:szCs w:val="24"/>
              </w:rPr>
            </w:pPr>
            <w:r>
              <w:rPr>
                <w:rFonts w:cs="Arial"/>
                <w:szCs w:val="24"/>
              </w:rPr>
              <w:t>Employing organisations</w:t>
            </w:r>
          </w:p>
        </w:tc>
        <w:tc>
          <w:tcPr>
            <w:tcW w:w="1536" w:type="dxa"/>
            <w:shd w:val="clear" w:color="auto" w:fill="auto"/>
          </w:tcPr>
          <w:p w:rsidR="00D74905" w:rsidRPr="00156E06" w:rsidRDefault="004564F1" w:rsidP="008D5E7D">
            <w:pPr>
              <w:rPr>
                <w:rFonts w:ascii="Calibri" w:hAnsi="Calibri" w:cs="Arial"/>
                <w:szCs w:val="24"/>
              </w:rPr>
            </w:pPr>
            <w:r>
              <w:rPr>
                <w:rFonts w:ascii="Calibri" w:hAnsi="Calibri" w:cs="Arial"/>
                <w:szCs w:val="24"/>
              </w:rPr>
              <w:t>01/11</w:t>
            </w:r>
            <w:r w:rsidR="004E618A">
              <w:rPr>
                <w:rFonts w:ascii="Calibri" w:hAnsi="Calibri" w:cs="Arial"/>
                <w:szCs w:val="24"/>
              </w:rPr>
              <w:t>/2016</w:t>
            </w:r>
          </w:p>
        </w:tc>
        <w:tc>
          <w:tcPr>
            <w:tcW w:w="1278" w:type="dxa"/>
            <w:shd w:val="clear" w:color="auto" w:fill="auto"/>
          </w:tcPr>
          <w:p w:rsidR="00D74905" w:rsidRPr="00156E06" w:rsidRDefault="004564F1" w:rsidP="008D5E7D">
            <w:pPr>
              <w:rPr>
                <w:rFonts w:cs="Arial"/>
                <w:szCs w:val="24"/>
              </w:rPr>
            </w:pPr>
            <w:r>
              <w:rPr>
                <w:rFonts w:cs="Arial"/>
                <w:szCs w:val="24"/>
              </w:rPr>
              <w:t>01/01/2017</w:t>
            </w:r>
          </w:p>
        </w:tc>
      </w:tr>
    </w:tbl>
    <w:p w:rsidR="003011EC" w:rsidRPr="003011EC" w:rsidRDefault="003011EC" w:rsidP="003011EC">
      <w:pPr>
        <w:rPr>
          <w:rFonts w:ascii="Arial" w:hAnsi="Arial" w:cs="Arial"/>
          <w:sz w:val="24"/>
          <w:szCs w:val="24"/>
        </w:rPr>
      </w:pPr>
      <w:r w:rsidRPr="003011EC">
        <w:rPr>
          <w:rFonts w:ascii="Arial" w:hAnsi="Arial" w:cs="Arial"/>
          <w:sz w:val="24"/>
          <w:szCs w:val="24"/>
        </w:rPr>
        <w:t xml:space="preserve"> </w:t>
      </w:r>
    </w:p>
    <w:p w:rsidR="003011EC" w:rsidRPr="003011EC" w:rsidRDefault="003011EC" w:rsidP="00393D1A">
      <w:pPr>
        <w:rPr>
          <w:rFonts w:ascii="Arial" w:hAnsi="Arial" w:cs="Arial"/>
          <w:sz w:val="24"/>
          <w:szCs w:val="24"/>
        </w:rPr>
        <w:sectPr w:rsidR="003011EC" w:rsidRPr="003011EC" w:rsidSect="00632807">
          <w:pgSz w:w="16838" w:h="11906" w:orient="landscape"/>
          <w:pgMar w:top="1440" w:right="1440" w:bottom="1440" w:left="1440" w:header="709" w:footer="709" w:gutter="0"/>
          <w:cols w:space="708"/>
          <w:docGrid w:linePitch="360"/>
        </w:sectPr>
      </w:pPr>
    </w:p>
    <w:tbl>
      <w:tblPr>
        <w:tblStyle w:val="TableGrid"/>
        <w:tblW w:w="9640" w:type="dxa"/>
        <w:tblInd w:w="-176" w:type="dxa"/>
        <w:tblLook w:val="04A0" w:firstRow="1" w:lastRow="0" w:firstColumn="1" w:lastColumn="0" w:noHBand="0" w:noVBand="1"/>
      </w:tblPr>
      <w:tblGrid>
        <w:gridCol w:w="1844"/>
        <w:gridCol w:w="7796"/>
      </w:tblGrid>
      <w:tr w:rsidR="003011EC" w:rsidRPr="003011EC" w:rsidTr="00345D59">
        <w:tc>
          <w:tcPr>
            <w:tcW w:w="9640" w:type="dxa"/>
            <w:gridSpan w:val="2"/>
            <w:shd w:val="clear" w:color="auto" w:fill="DBE5F1" w:themeFill="accent1" w:themeFillTint="33"/>
          </w:tcPr>
          <w:p w:rsidR="003011EC" w:rsidRPr="003011EC" w:rsidRDefault="003011EC" w:rsidP="008C6BA4">
            <w:pPr>
              <w:jc w:val="center"/>
              <w:rPr>
                <w:rFonts w:ascii="Arial" w:hAnsi="Arial" w:cs="Arial"/>
                <w:b/>
                <w:sz w:val="24"/>
                <w:szCs w:val="24"/>
              </w:rPr>
            </w:pPr>
          </w:p>
          <w:p w:rsidR="003011EC" w:rsidRPr="003011EC" w:rsidRDefault="003011EC" w:rsidP="002C4EEC">
            <w:pPr>
              <w:jc w:val="center"/>
              <w:rPr>
                <w:rFonts w:ascii="Arial" w:hAnsi="Arial" w:cs="Arial"/>
                <w:b/>
                <w:sz w:val="24"/>
                <w:szCs w:val="24"/>
              </w:rPr>
            </w:pPr>
            <w:r w:rsidRPr="003011EC">
              <w:rPr>
                <w:rFonts w:ascii="Arial" w:hAnsi="Arial" w:cs="Arial"/>
                <w:b/>
                <w:sz w:val="24"/>
                <w:szCs w:val="24"/>
              </w:rPr>
              <w:t xml:space="preserve">Completion Notes:    </w:t>
            </w:r>
          </w:p>
        </w:tc>
      </w:tr>
      <w:tr w:rsidR="003011EC" w:rsidRPr="003011EC" w:rsidTr="00345D59">
        <w:tc>
          <w:tcPr>
            <w:tcW w:w="1844"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Analysis Ratings: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After completing this document, rate the overall analysis as follows: </w:t>
            </w:r>
          </w:p>
          <w:p w:rsidR="003011EC" w:rsidRPr="003011EC" w:rsidRDefault="003011EC" w:rsidP="008C6BA4">
            <w:pPr>
              <w:rPr>
                <w:rFonts w:ascii="Arial" w:hAnsi="Arial" w:cs="Arial"/>
                <w:sz w:val="24"/>
                <w:szCs w:val="24"/>
              </w:rPr>
            </w:pPr>
            <w:r w:rsidRPr="003011EC">
              <w:rPr>
                <w:rFonts w:ascii="Arial" w:hAnsi="Arial" w:cs="Arial"/>
                <w:b/>
                <w:sz w:val="24"/>
                <w:szCs w:val="24"/>
              </w:rPr>
              <w:t>Red:</w:t>
            </w:r>
            <w:r w:rsidRPr="003011EC">
              <w:rPr>
                <w:rFonts w:ascii="Arial" w:hAnsi="Arial" w:cs="Arial"/>
                <w:sz w:val="24"/>
                <w:szCs w:val="24"/>
              </w:rPr>
              <w:t xml:space="preserve"> As a result of performing this analysis, it is evident that a risk of discrimination exists (direct, indirect, unintentional or otherwise) to one or more of the nine groups of people who share </w:t>
            </w:r>
            <w:r w:rsidRPr="003011EC">
              <w:rPr>
                <w:rFonts w:ascii="Arial" w:hAnsi="Arial" w:cs="Arial"/>
                <w:i/>
                <w:sz w:val="24"/>
                <w:szCs w:val="24"/>
              </w:rPr>
              <w:t>Protected Characteristics.</w:t>
            </w:r>
            <w:r w:rsidRPr="003011EC">
              <w:rPr>
                <w:rFonts w:ascii="Arial" w:hAnsi="Arial" w:cs="Arial"/>
                <w:sz w:val="24"/>
                <w:szCs w:val="24"/>
              </w:rPr>
              <w:t xml:space="preserve"> It is recommended that the use of the activity or policy be suspended until further work or analysis is performed. </w:t>
            </w:r>
          </w:p>
          <w:p w:rsidR="003011EC" w:rsidRPr="003011EC" w:rsidRDefault="003011EC" w:rsidP="008C6BA4">
            <w:pPr>
              <w:rPr>
                <w:rFonts w:ascii="Arial" w:hAnsi="Arial" w:cs="Arial"/>
                <w:sz w:val="24"/>
                <w:szCs w:val="24"/>
              </w:rPr>
            </w:pPr>
            <w:r w:rsidRPr="003011EC">
              <w:rPr>
                <w:rFonts w:ascii="Arial" w:hAnsi="Arial" w:cs="Arial"/>
                <w:b/>
                <w:sz w:val="24"/>
                <w:szCs w:val="24"/>
              </w:rPr>
              <w:t>Red Amber:</w:t>
            </w:r>
            <w:r w:rsidRPr="003011EC">
              <w:rPr>
                <w:rFonts w:ascii="Arial" w:hAnsi="Arial" w:cs="Arial"/>
                <w:sz w:val="24"/>
                <w:szCs w:val="24"/>
              </w:rPr>
              <w:t xml:space="preserve">  As a result of performing this analysis, it is evident that a risk of discrimination exists (direct, indirect, unintentional or otherwise) to one or more of the nine groups of people who share </w:t>
            </w:r>
            <w:r w:rsidRPr="003011EC">
              <w:rPr>
                <w:rFonts w:ascii="Arial" w:hAnsi="Arial" w:cs="Arial"/>
                <w:i/>
                <w:sz w:val="24"/>
                <w:szCs w:val="24"/>
              </w:rPr>
              <w:t xml:space="preserve">Protected Characteristics. </w:t>
            </w:r>
            <w:r w:rsidRPr="003011EC">
              <w:rPr>
                <w:rFonts w:ascii="Arial" w:hAnsi="Arial" w:cs="Arial"/>
                <w:sz w:val="24"/>
                <w:szCs w:val="24"/>
              </w:rPr>
              <w:t>However, a genuine determining reason may exist that could legitimise or justify the use of this activity or policy and further professional advice should be taken.</w:t>
            </w:r>
          </w:p>
          <w:p w:rsidR="003011EC" w:rsidRPr="003011EC" w:rsidRDefault="003011EC" w:rsidP="008C6BA4">
            <w:pPr>
              <w:rPr>
                <w:rFonts w:ascii="Arial" w:hAnsi="Arial" w:cs="Arial"/>
                <w:sz w:val="24"/>
                <w:szCs w:val="24"/>
              </w:rPr>
            </w:pPr>
            <w:r w:rsidRPr="003011EC">
              <w:rPr>
                <w:rFonts w:ascii="Arial" w:hAnsi="Arial" w:cs="Arial"/>
                <w:b/>
                <w:sz w:val="24"/>
                <w:szCs w:val="24"/>
              </w:rPr>
              <w:t>Amber:</w:t>
            </w:r>
            <w:r w:rsidRPr="003011EC">
              <w:rPr>
                <w:rFonts w:ascii="Arial" w:hAnsi="Arial" w:cs="Arial"/>
                <w:sz w:val="24"/>
                <w:szCs w:val="24"/>
              </w:rPr>
              <w:t xml:space="preserve">   As a result of performing this analysis, it is evident that a risk of discrimination (as described above) exists and this risk may be removed or reduced by implementing the actions detailed within the </w:t>
            </w:r>
            <w:r w:rsidRPr="003011EC">
              <w:rPr>
                <w:rFonts w:ascii="Arial" w:hAnsi="Arial" w:cs="Arial"/>
                <w:i/>
                <w:sz w:val="24"/>
                <w:szCs w:val="24"/>
              </w:rPr>
              <w:t>Action Planning s</w:t>
            </w:r>
            <w:r w:rsidRPr="003011EC">
              <w:rPr>
                <w:rFonts w:ascii="Arial" w:hAnsi="Arial" w:cs="Arial"/>
                <w:sz w:val="24"/>
                <w:szCs w:val="24"/>
              </w:rPr>
              <w:t xml:space="preserve">ection of this document. </w:t>
            </w:r>
          </w:p>
          <w:p w:rsidR="003011EC" w:rsidRPr="003011EC" w:rsidRDefault="003011EC" w:rsidP="008C6BA4">
            <w:pPr>
              <w:rPr>
                <w:rFonts w:ascii="Arial" w:hAnsi="Arial" w:cs="Arial"/>
                <w:sz w:val="24"/>
                <w:szCs w:val="24"/>
              </w:rPr>
            </w:pPr>
            <w:r w:rsidRPr="003011EC">
              <w:rPr>
                <w:rFonts w:ascii="Arial" w:hAnsi="Arial" w:cs="Arial"/>
                <w:b/>
                <w:sz w:val="24"/>
                <w:szCs w:val="24"/>
              </w:rPr>
              <w:t>Green:</w:t>
            </w:r>
            <w:r w:rsidRPr="003011EC">
              <w:rPr>
                <w:rFonts w:ascii="Arial" w:hAnsi="Arial" w:cs="Arial"/>
                <w:sz w:val="24"/>
                <w:szCs w:val="24"/>
              </w:rPr>
              <w:t xml:space="preserve"> As a result of performing this analysis, the policy or activity does not appear to have any adverse effects on people who share </w:t>
            </w:r>
            <w:r w:rsidRPr="003011EC">
              <w:rPr>
                <w:rFonts w:ascii="Arial" w:hAnsi="Arial" w:cs="Arial"/>
                <w:i/>
                <w:sz w:val="24"/>
                <w:szCs w:val="24"/>
              </w:rPr>
              <w:t xml:space="preserve">Protected Characteristics </w:t>
            </w:r>
            <w:r w:rsidRPr="003011EC">
              <w:rPr>
                <w:rFonts w:ascii="Arial" w:hAnsi="Arial" w:cs="Arial"/>
                <w:sz w:val="24"/>
                <w:szCs w:val="24"/>
              </w:rPr>
              <w:t xml:space="preserve">and no further actions are recommended at this stage. </w:t>
            </w:r>
          </w:p>
        </w:tc>
      </w:tr>
      <w:tr w:rsidR="003011EC" w:rsidRPr="003011EC" w:rsidTr="00345D59">
        <w:tc>
          <w:tcPr>
            <w:tcW w:w="1844" w:type="dxa"/>
            <w:shd w:val="pct12" w:color="auto" w:fill="auto"/>
          </w:tcPr>
          <w:p w:rsidR="003011EC" w:rsidRPr="003011EC" w:rsidRDefault="003011EC" w:rsidP="008C6BA4">
            <w:pPr>
              <w:rPr>
                <w:rFonts w:ascii="Arial" w:hAnsi="Arial" w:cs="Arial"/>
                <w:b/>
                <w:sz w:val="24"/>
                <w:szCs w:val="24"/>
              </w:rPr>
            </w:pPr>
            <w:r w:rsidRPr="003011EC">
              <w:rPr>
                <w:rFonts w:ascii="Arial" w:hAnsi="Arial" w:cs="Arial"/>
                <w:b/>
                <w:sz w:val="24"/>
                <w:szCs w:val="24"/>
              </w:rPr>
              <w:t xml:space="preserve">Equality Data:  </w:t>
            </w:r>
          </w:p>
          <w:p w:rsidR="003011EC" w:rsidRPr="003011EC" w:rsidRDefault="003011EC" w:rsidP="008C6BA4">
            <w:pPr>
              <w:rPr>
                <w:rFonts w:ascii="Arial" w:hAnsi="Arial" w:cs="Arial"/>
                <w:b/>
                <w:sz w:val="24"/>
                <w:szCs w:val="24"/>
              </w:rPr>
            </w:pPr>
            <w:r w:rsidRPr="003011EC">
              <w:rPr>
                <w:rFonts w:ascii="Arial" w:hAnsi="Arial" w:cs="Arial"/>
                <w:b/>
                <w:sz w:val="24"/>
                <w:szCs w:val="24"/>
              </w:rPr>
              <w:t xml:space="preserve">     </w:t>
            </w: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Equality data is internal or external information that may indicate how the activity or policy being analysed can affect different groups of people who share the nine </w:t>
            </w:r>
            <w:r w:rsidRPr="003011EC">
              <w:rPr>
                <w:rFonts w:ascii="Arial" w:hAnsi="Arial" w:cs="Arial"/>
                <w:i/>
                <w:sz w:val="24"/>
                <w:szCs w:val="24"/>
              </w:rPr>
              <w:t>Protected Characteristics</w:t>
            </w:r>
            <w:r w:rsidRPr="003011EC">
              <w:rPr>
                <w:rFonts w:ascii="Arial" w:hAnsi="Arial" w:cs="Arial"/>
                <w:sz w:val="24"/>
                <w:szCs w:val="24"/>
              </w:rPr>
              <w:t xml:space="preserve"> – referred to hereafter as </w:t>
            </w:r>
            <w:r w:rsidRPr="003011EC">
              <w:rPr>
                <w:rFonts w:ascii="Arial" w:hAnsi="Arial" w:cs="Arial"/>
                <w:i/>
                <w:sz w:val="24"/>
                <w:szCs w:val="24"/>
              </w:rPr>
              <w:t>‘Equality Groups’.</w:t>
            </w:r>
            <w:r w:rsidRPr="003011EC">
              <w:rPr>
                <w:rFonts w:ascii="Arial" w:hAnsi="Arial" w:cs="Arial"/>
                <w:sz w:val="24"/>
                <w:szCs w:val="24"/>
              </w:rPr>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Examples of </w:t>
            </w:r>
            <w:r w:rsidRPr="003011EC">
              <w:rPr>
                <w:rFonts w:ascii="Arial" w:hAnsi="Arial" w:cs="Arial"/>
                <w:i/>
                <w:sz w:val="24"/>
                <w:szCs w:val="24"/>
              </w:rPr>
              <w:t>Equality Data</w:t>
            </w:r>
            <w:r w:rsidRPr="003011EC">
              <w:rPr>
                <w:rFonts w:ascii="Arial" w:hAnsi="Arial" w:cs="Arial"/>
                <w:sz w:val="24"/>
                <w:szCs w:val="24"/>
              </w:rPr>
              <w:t xml:space="preserve"> include: (this list is not definitive)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1: Application success rates by </w:t>
            </w:r>
            <w:r w:rsidRPr="003011EC">
              <w:rPr>
                <w:rFonts w:ascii="Arial" w:hAnsi="Arial" w:cs="Arial"/>
                <w:i/>
                <w:sz w:val="24"/>
                <w:szCs w:val="24"/>
              </w:rPr>
              <w:t>Equality Groups</w:t>
            </w:r>
            <w:r w:rsidRPr="003011EC">
              <w:rPr>
                <w:rFonts w:ascii="Arial" w:hAnsi="Arial" w:cs="Arial"/>
                <w:sz w:val="24"/>
                <w:szCs w:val="24"/>
              </w:rPr>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2: Complaints by </w:t>
            </w:r>
            <w:r w:rsidRPr="003011EC">
              <w:rPr>
                <w:rFonts w:ascii="Arial" w:hAnsi="Arial" w:cs="Arial"/>
                <w:i/>
                <w:sz w:val="24"/>
                <w:szCs w:val="24"/>
              </w:rPr>
              <w:t>Equality Groups</w:t>
            </w:r>
            <w:r w:rsidRPr="003011EC">
              <w:rPr>
                <w:rFonts w:ascii="Arial" w:hAnsi="Arial" w:cs="Arial"/>
                <w:sz w:val="24"/>
                <w:szCs w:val="24"/>
              </w:rPr>
              <w:t xml:space="preserve"> </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3: Service usage and withdrawal of services by </w:t>
            </w:r>
            <w:r w:rsidRPr="003011EC">
              <w:rPr>
                <w:rFonts w:ascii="Arial" w:hAnsi="Arial" w:cs="Arial"/>
                <w:i/>
                <w:sz w:val="24"/>
                <w:szCs w:val="24"/>
              </w:rPr>
              <w:t>Equality Groups</w:t>
            </w:r>
            <w:r w:rsidRPr="003011EC">
              <w:rPr>
                <w:rFonts w:ascii="Arial" w:hAnsi="Arial" w:cs="Arial"/>
                <w:sz w:val="24"/>
                <w:szCs w:val="24"/>
              </w:rPr>
              <w:t xml:space="preserve"> </w:t>
            </w:r>
          </w:p>
          <w:p w:rsidR="003011EC" w:rsidRDefault="003011EC" w:rsidP="008C6BA4">
            <w:pPr>
              <w:rPr>
                <w:rFonts w:ascii="Arial" w:hAnsi="Arial" w:cs="Arial"/>
                <w:i/>
                <w:sz w:val="24"/>
                <w:szCs w:val="24"/>
              </w:rPr>
            </w:pPr>
            <w:r w:rsidRPr="003011EC">
              <w:rPr>
                <w:rFonts w:ascii="Arial" w:hAnsi="Arial" w:cs="Arial"/>
                <w:sz w:val="24"/>
                <w:szCs w:val="24"/>
              </w:rPr>
              <w:t xml:space="preserve">4: Grievances or decisions upheld and dismissed by </w:t>
            </w:r>
            <w:r w:rsidRPr="003011EC">
              <w:rPr>
                <w:rFonts w:ascii="Arial" w:hAnsi="Arial" w:cs="Arial"/>
                <w:i/>
                <w:sz w:val="24"/>
                <w:szCs w:val="24"/>
              </w:rPr>
              <w:t>Equality Groups</w:t>
            </w:r>
          </w:p>
          <w:p w:rsidR="00185852" w:rsidRDefault="00185852" w:rsidP="008C6BA4">
            <w:pPr>
              <w:rPr>
                <w:rFonts w:ascii="Arial" w:hAnsi="Arial" w:cs="Arial"/>
                <w:i/>
                <w:sz w:val="24"/>
                <w:szCs w:val="24"/>
              </w:rPr>
            </w:pPr>
            <w:r w:rsidRPr="002C4EEC">
              <w:rPr>
                <w:rFonts w:ascii="Arial" w:hAnsi="Arial" w:cs="Arial"/>
                <w:sz w:val="24"/>
                <w:szCs w:val="24"/>
              </w:rPr>
              <w:t>5</w:t>
            </w:r>
            <w:r>
              <w:rPr>
                <w:rFonts w:ascii="Arial" w:hAnsi="Arial" w:cs="Arial"/>
                <w:i/>
                <w:sz w:val="24"/>
                <w:szCs w:val="24"/>
              </w:rPr>
              <w:t xml:space="preserve">: </w:t>
            </w:r>
            <w:r w:rsidRPr="00185852">
              <w:rPr>
                <w:rFonts w:ascii="Arial" w:hAnsi="Arial" w:cs="Arial"/>
                <w:sz w:val="24"/>
                <w:szCs w:val="24"/>
              </w:rPr>
              <w:t>Demographic data for</w:t>
            </w:r>
            <w:r>
              <w:rPr>
                <w:rFonts w:ascii="Arial" w:hAnsi="Arial" w:cs="Arial"/>
                <w:i/>
                <w:sz w:val="24"/>
                <w:szCs w:val="24"/>
              </w:rPr>
              <w:t xml:space="preserve"> Equality </w:t>
            </w:r>
            <w:r w:rsidR="002C4EEC">
              <w:rPr>
                <w:rFonts w:ascii="Arial" w:hAnsi="Arial" w:cs="Arial"/>
                <w:i/>
                <w:sz w:val="24"/>
                <w:szCs w:val="24"/>
              </w:rPr>
              <w:t>G</w:t>
            </w:r>
            <w:r>
              <w:rPr>
                <w:rFonts w:ascii="Arial" w:hAnsi="Arial" w:cs="Arial"/>
                <w:i/>
                <w:sz w:val="24"/>
                <w:szCs w:val="24"/>
              </w:rPr>
              <w:t>roups</w:t>
            </w:r>
          </w:p>
          <w:p w:rsidR="003011EC" w:rsidRPr="003011EC" w:rsidRDefault="002C4EEC" w:rsidP="002C4EEC">
            <w:pPr>
              <w:rPr>
                <w:rFonts w:ascii="Arial" w:hAnsi="Arial" w:cs="Arial"/>
                <w:sz w:val="24"/>
                <w:szCs w:val="24"/>
              </w:rPr>
            </w:pPr>
            <w:r w:rsidRPr="002C4EEC">
              <w:rPr>
                <w:rFonts w:ascii="Arial" w:hAnsi="Arial" w:cs="Arial"/>
                <w:sz w:val="24"/>
                <w:szCs w:val="24"/>
              </w:rPr>
              <w:t>6: Health Intelligence for</w:t>
            </w:r>
            <w:r>
              <w:rPr>
                <w:rFonts w:ascii="Arial" w:hAnsi="Arial" w:cs="Arial"/>
                <w:i/>
                <w:sz w:val="24"/>
                <w:szCs w:val="24"/>
              </w:rPr>
              <w:t xml:space="preserve"> Equality Groups</w:t>
            </w:r>
            <w:r w:rsidR="003011EC" w:rsidRPr="003011EC">
              <w:rPr>
                <w:rFonts w:ascii="Arial" w:hAnsi="Arial" w:cs="Arial"/>
                <w:sz w:val="24"/>
                <w:szCs w:val="24"/>
              </w:rPr>
              <w:t xml:space="preserve">    </w:t>
            </w:r>
          </w:p>
        </w:tc>
      </w:tr>
      <w:tr w:rsidR="003011EC" w:rsidRPr="003011EC" w:rsidTr="00345D59">
        <w:tc>
          <w:tcPr>
            <w:tcW w:w="1844" w:type="dxa"/>
            <w:shd w:val="pct12" w:color="auto" w:fill="auto"/>
          </w:tcPr>
          <w:p w:rsidR="003011EC" w:rsidRPr="003011EC" w:rsidRDefault="003011EC" w:rsidP="00345D59">
            <w:pPr>
              <w:rPr>
                <w:rFonts w:ascii="Arial" w:hAnsi="Arial" w:cs="Arial"/>
                <w:b/>
                <w:sz w:val="24"/>
                <w:szCs w:val="24"/>
              </w:rPr>
            </w:pPr>
            <w:r w:rsidRPr="003011EC">
              <w:rPr>
                <w:rFonts w:ascii="Arial" w:hAnsi="Arial" w:cs="Arial"/>
                <w:b/>
                <w:sz w:val="24"/>
                <w:szCs w:val="24"/>
              </w:rPr>
              <w:lastRenderedPageBreak/>
              <w:t xml:space="preserve"> Legal Status: </w:t>
            </w: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This document is designed to assist organisations in </w:t>
            </w:r>
            <w:r w:rsidRPr="003011EC">
              <w:rPr>
                <w:rFonts w:ascii="Arial" w:hAnsi="Arial" w:cs="Arial"/>
                <w:i/>
                <w:sz w:val="24"/>
                <w:szCs w:val="24"/>
              </w:rPr>
              <w:t>“Identifying and eliminating unlawful Discrimination, Harassment and Victimisation”</w:t>
            </w:r>
            <w:r w:rsidRPr="003011EC">
              <w:rPr>
                <w:rFonts w:ascii="Arial" w:hAnsi="Arial" w:cs="Arial"/>
                <w:sz w:val="24"/>
                <w:szCs w:val="24"/>
              </w:rPr>
              <w:t xml:space="preserve"> as required by </w:t>
            </w:r>
            <w:r w:rsidRPr="003011EC">
              <w:rPr>
                <w:rFonts w:ascii="Arial" w:hAnsi="Arial" w:cs="Arial"/>
                <w:i/>
                <w:sz w:val="24"/>
                <w:szCs w:val="24"/>
              </w:rPr>
              <w:t>The Equality Act Public Sector Duty 2011.</w:t>
            </w:r>
            <w:r w:rsidRPr="003011EC">
              <w:rPr>
                <w:rFonts w:ascii="Arial" w:hAnsi="Arial" w:cs="Arial"/>
                <w:sz w:val="24"/>
                <w:szCs w:val="24"/>
              </w:rPr>
              <w:t xml:space="preserve"> An Equality Impact Analysis is not, in itself, legally binding and should not be used as a substitute for legal or other professional advice. </w:t>
            </w:r>
          </w:p>
        </w:tc>
      </w:tr>
      <w:tr w:rsidR="003011EC" w:rsidRPr="003011EC" w:rsidTr="00345D59">
        <w:tc>
          <w:tcPr>
            <w:tcW w:w="1844" w:type="dxa"/>
            <w:shd w:val="pct12" w:color="auto" w:fill="auto"/>
          </w:tcPr>
          <w:p w:rsidR="003011EC" w:rsidRPr="003011EC" w:rsidRDefault="003011EC" w:rsidP="008C6BA4">
            <w:pPr>
              <w:rPr>
                <w:rFonts w:ascii="Arial" w:hAnsi="Arial" w:cs="Arial"/>
                <w:b/>
                <w:i/>
                <w:sz w:val="24"/>
                <w:szCs w:val="24"/>
              </w:rPr>
            </w:pPr>
            <w:r w:rsidRPr="003011EC">
              <w:rPr>
                <w:rFonts w:ascii="Arial" w:hAnsi="Arial" w:cs="Arial"/>
                <w:b/>
                <w:sz w:val="24"/>
                <w:szCs w:val="24"/>
              </w:rPr>
              <w:t xml:space="preserve"> </w:t>
            </w:r>
            <w:r w:rsidRPr="003011EC">
              <w:rPr>
                <w:rFonts w:ascii="Arial" w:hAnsi="Arial" w:cs="Arial"/>
                <w:b/>
                <w:i/>
                <w:sz w:val="24"/>
                <w:szCs w:val="24"/>
              </w:rPr>
              <w:t xml:space="preserve">Genuine   Determining  Reason </w:t>
            </w:r>
          </w:p>
          <w:p w:rsidR="003011EC" w:rsidRPr="003011EC" w:rsidRDefault="003011EC" w:rsidP="008C6BA4">
            <w:pPr>
              <w:rPr>
                <w:rFonts w:ascii="Arial" w:hAnsi="Arial" w:cs="Arial"/>
                <w:b/>
                <w:sz w:val="24"/>
                <w:szCs w:val="24"/>
              </w:rPr>
            </w:pPr>
          </w:p>
        </w:tc>
        <w:tc>
          <w:tcPr>
            <w:tcW w:w="7796" w:type="dxa"/>
          </w:tcPr>
          <w:p w:rsidR="003011EC" w:rsidRPr="003011EC" w:rsidRDefault="003011EC" w:rsidP="008C6BA4">
            <w:pPr>
              <w:rPr>
                <w:rFonts w:ascii="Arial" w:hAnsi="Arial" w:cs="Arial"/>
                <w:sz w:val="24"/>
                <w:szCs w:val="24"/>
              </w:rPr>
            </w:pPr>
            <w:r w:rsidRPr="003011EC">
              <w:rPr>
                <w:rFonts w:ascii="Arial" w:hAnsi="Arial" w:cs="Arial"/>
                <w:sz w:val="24"/>
                <w:szCs w:val="24"/>
              </w:rPr>
              <w:t xml:space="preserve">Certain discrimination may be capable of being justified on the grounds that: </w:t>
            </w:r>
          </w:p>
          <w:p w:rsidR="003011EC" w:rsidRPr="003011EC" w:rsidRDefault="003011EC" w:rsidP="003011EC">
            <w:pPr>
              <w:pStyle w:val="ListParagraph"/>
              <w:numPr>
                <w:ilvl w:val="0"/>
                <w:numId w:val="1"/>
              </w:numPr>
              <w:spacing w:after="0" w:line="240" w:lineRule="auto"/>
              <w:rPr>
                <w:rFonts w:ascii="Arial" w:hAnsi="Arial" w:cs="Arial"/>
                <w:i/>
                <w:sz w:val="24"/>
                <w:szCs w:val="24"/>
              </w:rPr>
            </w:pPr>
            <w:r w:rsidRPr="003011EC">
              <w:rPr>
                <w:rFonts w:ascii="Arial" w:hAnsi="Arial" w:cs="Arial"/>
                <w:i/>
                <w:sz w:val="24"/>
                <w:szCs w:val="24"/>
              </w:rPr>
              <w:t xml:space="preserve">A genuine determining reason exists </w:t>
            </w:r>
          </w:p>
          <w:p w:rsidR="003011EC" w:rsidRPr="003011EC" w:rsidRDefault="003011EC" w:rsidP="003011EC">
            <w:pPr>
              <w:pStyle w:val="ListParagraph"/>
              <w:numPr>
                <w:ilvl w:val="0"/>
                <w:numId w:val="1"/>
              </w:numPr>
              <w:spacing w:after="0" w:line="240" w:lineRule="auto"/>
              <w:rPr>
                <w:rFonts w:ascii="Arial" w:hAnsi="Arial" w:cs="Arial"/>
                <w:i/>
                <w:sz w:val="24"/>
                <w:szCs w:val="24"/>
              </w:rPr>
            </w:pPr>
            <w:r w:rsidRPr="003011EC">
              <w:rPr>
                <w:rFonts w:ascii="Arial" w:hAnsi="Arial" w:cs="Arial"/>
                <w:i/>
                <w:sz w:val="24"/>
                <w:szCs w:val="24"/>
              </w:rPr>
              <w:t>The action is proportionate to the legitimate aims of the organisation</w:t>
            </w:r>
          </w:p>
          <w:p w:rsidR="003011EC" w:rsidRPr="003011EC" w:rsidRDefault="003011EC" w:rsidP="008C6BA4">
            <w:pPr>
              <w:rPr>
                <w:rFonts w:ascii="Arial" w:hAnsi="Arial" w:cs="Arial"/>
                <w:sz w:val="24"/>
                <w:szCs w:val="24"/>
              </w:rPr>
            </w:pPr>
            <w:r w:rsidRPr="003011EC">
              <w:rPr>
                <w:rFonts w:ascii="Arial" w:hAnsi="Arial" w:cs="Arial"/>
                <w:sz w:val="24"/>
                <w:szCs w:val="24"/>
              </w:rPr>
              <w:t>Where this is identified, it is recommended that professional and legal advice is sought prior to completing an Equality Impact Analysis.</w:t>
            </w:r>
          </w:p>
          <w:p w:rsidR="003011EC" w:rsidRPr="003011EC" w:rsidRDefault="003011EC" w:rsidP="008C6BA4">
            <w:pPr>
              <w:rPr>
                <w:rFonts w:ascii="Arial" w:hAnsi="Arial" w:cs="Arial"/>
                <w:sz w:val="24"/>
                <w:szCs w:val="24"/>
              </w:rPr>
            </w:pPr>
            <w:r w:rsidRPr="003011EC">
              <w:rPr>
                <w:rFonts w:ascii="Arial" w:hAnsi="Arial" w:cs="Arial"/>
                <w:sz w:val="24"/>
                <w:szCs w:val="24"/>
              </w:rPr>
              <w:t xml:space="preserve">   </w:t>
            </w:r>
          </w:p>
        </w:tc>
      </w:tr>
    </w:tbl>
    <w:p w:rsidR="003011EC" w:rsidRDefault="003011EC" w:rsidP="003011EC">
      <w:pPr>
        <w:rPr>
          <w:rFonts w:ascii="Arial" w:hAnsi="Arial" w:cs="Arial"/>
          <w:sz w:val="24"/>
          <w:szCs w:val="24"/>
        </w:rPr>
      </w:pPr>
    </w:p>
    <w:p w:rsidR="001C31D2" w:rsidRPr="001C31D2" w:rsidRDefault="001C31D2" w:rsidP="001C31D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1C31D2">
        <w:rPr>
          <w:rFonts w:ascii="Arial" w:hAnsi="Arial" w:cs="Arial"/>
          <w:b/>
          <w:sz w:val="24"/>
          <w:szCs w:val="24"/>
        </w:rPr>
        <w:t xml:space="preserve">Once completed </w:t>
      </w:r>
      <w:r w:rsidRPr="001C31D2">
        <w:rPr>
          <w:rFonts w:ascii="Arial" w:hAnsi="Arial" w:cs="Arial"/>
          <w:sz w:val="24"/>
          <w:szCs w:val="24"/>
        </w:rPr>
        <w:t>please send a copy of the Equality Analysis and the Policy/Activity to the Governance Team (Linda Adhana), and also to PMO if it is for a Business Case.</w:t>
      </w:r>
    </w:p>
    <w:p w:rsidR="001C31D2" w:rsidRDefault="001C31D2" w:rsidP="003011EC">
      <w:pPr>
        <w:rPr>
          <w:rFonts w:ascii="Arial" w:hAnsi="Arial" w:cs="Arial"/>
          <w:sz w:val="24"/>
          <w:szCs w:val="24"/>
        </w:rPr>
      </w:pPr>
    </w:p>
    <w:p w:rsidR="007B70F8" w:rsidRDefault="001C31D2" w:rsidP="001C31D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C31D2">
        <w:rPr>
          <w:rFonts w:ascii="Arial" w:hAnsi="Arial" w:cs="Arial"/>
          <w:b/>
          <w:sz w:val="24"/>
          <w:szCs w:val="24"/>
        </w:rPr>
        <w:t>For further informa</w:t>
      </w:r>
      <w:r w:rsidR="00AB3A0B">
        <w:rPr>
          <w:rFonts w:ascii="Arial" w:hAnsi="Arial" w:cs="Arial"/>
          <w:b/>
          <w:sz w:val="24"/>
          <w:szCs w:val="24"/>
        </w:rPr>
        <w:t>tion and support please contact</w:t>
      </w:r>
      <w:r w:rsidRPr="001C31D2">
        <w:rPr>
          <w:rFonts w:ascii="Arial" w:hAnsi="Arial" w:cs="Arial"/>
          <w:b/>
          <w:sz w:val="24"/>
          <w:szCs w:val="24"/>
        </w:rPr>
        <w:t>:</w:t>
      </w:r>
    </w:p>
    <w:p w:rsidR="001C31D2" w:rsidRPr="00387CE6" w:rsidRDefault="001C31D2" w:rsidP="001C31D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87CE6">
        <w:rPr>
          <w:rFonts w:ascii="Arial" w:hAnsi="Arial" w:cs="Arial"/>
          <w:sz w:val="24"/>
          <w:szCs w:val="24"/>
        </w:rPr>
        <w:t>Maggie D</w:t>
      </w:r>
      <w:r w:rsidR="00AB3A0B" w:rsidRPr="00387CE6">
        <w:rPr>
          <w:rFonts w:ascii="Arial" w:hAnsi="Arial" w:cs="Arial"/>
          <w:sz w:val="24"/>
          <w:szCs w:val="24"/>
        </w:rPr>
        <w:t>ent Equality and Access Manager</w:t>
      </w:r>
      <w:r w:rsidRPr="00387CE6">
        <w:rPr>
          <w:rFonts w:ascii="Arial" w:hAnsi="Arial" w:cs="Arial"/>
          <w:sz w:val="24"/>
          <w:szCs w:val="24"/>
        </w:rPr>
        <w:t>:</w:t>
      </w:r>
      <w:r w:rsidRPr="00387CE6">
        <w:rPr>
          <w:rFonts w:ascii="Arial" w:hAnsi="Arial" w:cs="Arial"/>
          <w:b/>
          <w:sz w:val="24"/>
          <w:szCs w:val="24"/>
        </w:rPr>
        <w:t xml:space="preserve"> </w:t>
      </w:r>
      <w:hyperlink r:id="rId14" w:history="1">
        <w:r w:rsidR="00387CE6" w:rsidRPr="00B71A3F">
          <w:rPr>
            <w:rStyle w:val="Hyperlink"/>
            <w:rFonts w:ascii="Arial" w:hAnsi="Arial" w:cs="Arial"/>
            <w:sz w:val="24"/>
            <w:szCs w:val="24"/>
          </w:rPr>
          <w:t>Maggie.dent@oxfordshireccg.nhs.uk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If Maggie is unavailable please </w:t>
      </w:r>
      <w:proofErr w:type="gramStart"/>
      <w:r>
        <w:rPr>
          <w:rFonts w:ascii="Arial" w:hAnsi="Arial" w:cs="Arial"/>
          <w:sz w:val="24"/>
          <w:szCs w:val="24"/>
        </w:rPr>
        <w:t>contact :</w:t>
      </w:r>
      <w:proofErr w:type="gramEnd"/>
    </w:p>
    <w:p w:rsidR="001C31D2" w:rsidRDefault="00AB3A0B"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Manizah Imam Governance Manager</w:t>
      </w:r>
      <w:r w:rsidR="001C31D2">
        <w:rPr>
          <w:rFonts w:ascii="Arial" w:hAnsi="Arial" w:cs="Arial"/>
          <w:sz w:val="24"/>
          <w:szCs w:val="24"/>
        </w:rPr>
        <w:t xml:space="preserve">: </w:t>
      </w:r>
      <w:hyperlink r:id="rId15" w:history="1">
        <w:r w:rsidR="001C31D2" w:rsidRPr="00F67A3E">
          <w:rPr>
            <w:rStyle w:val="Hyperlink"/>
            <w:rFonts w:ascii="Arial" w:hAnsi="Arial" w:cs="Arial"/>
            <w:sz w:val="24"/>
            <w:szCs w:val="24"/>
          </w:rPr>
          <w:t>Manizah.imam@oxfordshireccg.nhs.uk</w:t>
        </w:r>
      </w:hyperlink>
    </w:p>
    <w:p w:rsidR="001C31D2" w:rsidRDefault="001C31D2"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Linda Adha</w:t>
      </w:r>
      <w:r w:rsidR="00AB3A0B">
        <w:rPr>
          <w:rFonts w:ascii="Arial" w:hAnsi="Arial" w:cs="Arial"/>
          <w:sz w:val="24"/>
          <w:szCs w:val="24"/>
        </w:rPr>
        <w:t>na Assistant Governance Manager</w:t>
      </w:r>
      <w:r>
        <w:rPr>
          <w:rFonts w:ascii="Arial" w:hAnsi="Arial" w:cs="Arial"/>
          <w:sz w:val="24"/>
          <w:szCs w:val="24"/>
        </w:rPr>
        <w:t xml:space="preserve">: </w:t>
      </w:r>
      <w:hyperlink r:id="rId16" w:history="1">
        <w:r w:rsidRPr="00F67A3E">
          <w:rPr>
            <w:rStyle w:val="Hyperlink"/>
            <w:rFonts w:ascii="Arial" w:hAnsi="Arial" w:cs="Arial"/>
            <w:sz w:val="24"/>
            <w:szCs w:val="24"/>
          </w:rPr>
          <w:t>linda.adhana@oxfordshireccg.nhs.uk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Or </w:t>
      </w:r>
    </w:p>
    <w:p w:rsidR="001C31D2"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Other Members of the Equality &amp; Diversity Working Group in your </w:t>
      </w:r>
      <w:proofErr w:type="gramStart"/>
      <w:r>
        <w:rPr>
          <w:rFonts w:ascii="Arial" w:hAnsi="Arial" w:cs="Arial"/>
          <w:sz w:val="24"/>
          <w:szCs w:val="24"/>
        </w:rPr>
        <w:t>Directorate :</w:t>
      </w:r>
      <w:proofErr w:type="gramEnd"/>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Delivery &amp; </w:t>
      </w:r>
      <w:proofErr w:type="gramStart"/>
      <w:r>
        <w:rPr>
          <w:rFonts w:ascii="Arial" w:hAnsi="Arial" w:cs="Arial"/>
          <w:sz w:val="24"/>
          <w:szCs w:val="24"/>
        </w:rPr>
        <w:t>Localities :</w:t>
      </w:r>
      <w:proofErr w:type="gramEnd"/>
      <w:r>
        <w:rPr>
          <w:rFonts w:ascii="Arial" w:hAnsi="Arial" w:cs="Arial"/>
          <w:sz w:val="24"/>
          <w:szCs w:val="24"/>
        </w:rPr>
        <w:t xml:space="preserve"> Laura Carter </w:t>
      </w:r>
      <w:hyperlink r:id="rId17" w:history="1">
        <w:r w:rsidRPr="00B71A3F">
          <w:rPr>
            <w:rStyle w:val="Hyperlink"/>
            <w:rFonts w:ascii="Arial" w:hAnsi="Arial" w:cs="Arial"/>
            <w:sz w:val="24"/>
            <w:szCs w:val="24"/>
          </w:rPr>
          <w:t>laura.carter@oxfordshireccg.nhs.uk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Quality :</w:t>
      </w:r>
      <w:proofErr w:type="gramEnd"/>
      <w:r>
        <w:rPr>
          <w:rFonts w:ascii="Arial" w:hAnsi="Arial" w:cs="Arial"/>
          <w:sz w:val="24"/>
          <w:szCs w:val="24"/>
        </w:rPr>
        <w:t xml:space="preserve"> Tom Stocker : </w:t>
      </w:r>
      <w:hyperlink r:id="rId18" w:history="1">
        <w:r w:rsidRPr="00387CE6">
          <w:rPr>
            <w:rStyle w:val="Hyperlink"/>
            <w:rFonts w:ascii="Arial" w:hAnsi="Arial" w:cs="Arial"/>
            <w:sz w:val="24"/>
            <w:szCs w:val="24"/>
          </w:rPr>
          <w:t>thomas.stocker@oxfordshireccg.nhs.uk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Finance :</w:t>
      </w:r>
      <w:proofErr w:type="gramEnd"/>
      <w:r>
        <w:rPr>
          <w:rFonts w:ascii="Arial" w:hAnsi="Arial" w:cs="Arial"/>
          <w:sz w:val="24"/>
          <w:szCs w:val="24"/>
        </w:rPr>
        <w:t xml:space="preserve"> Alan Dodge : </w:t>
      </w:r>
      <w:hyperlink r:id="rId19" w:history="1">
        <w:r w:rsidRPr="00B71A3F">
          <w:rPr>
            <w:rStyle w:val="Hyperlink"/>
            <w:rFonts w:ascii="Arial" w:hAnsi="Arial" w:cs="Arial"/>
            <w:sz w:val="24"/>
            <w:szCs w:val="24"/>
          </w:rPr>
          <w:t>Alan.dodge@oxfordshireccg.nhs.uk</w:t>
        </w:r>
      </w:hyperlink>
    </w:p>
    <w:p w:rsidR="00387CE6"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Strategy &amp; </w:t>
      </w:r>
      <w:proofErr w:type="gramStart"/>
      <w:r>
        <w:rPr>
          <w:rFonts w:ascii="Arial" w:hAnsi="Arial" w:cs="Arial"/>
          <w:sz w:val="24"/>
          <w:szCs w:val="24"/>
        </w:rPr>
        <w:t>Transformation :</w:t>
      </w:r>
      <w:proofErr w:type="gramEnd"/>
      <w:r>
        <w:rPr>
          <w:rFonts w:ascii="Arial" w:hAnsi="Arial" w:cs="Arial"/>
          <w:sz w:val="24"/>
          <w:szCs w:val="24"/>
        </w:rPr>
        <w:t xml:space="preserve"> Nigel Carter : </w:t>
      </w:r>
      <w:hyperlink r:id="rId20" w:history="1">
        <w:r w:rsidRPr="00B71A3F">
          <w:rPr>
            <w:rStyle w:val="Hyperlink"/>
            <w:rFonts w:ascii="Arial" w:hAnsi="Arial" w:cs="Arial"/>
            <w:sz w:val="24"/>
            <w:szCs w:val="24"/>
          </w:rPr>
          <w:t>Nigel.carter@oxfordshireccg.nhs.uk</w:t>
        </w:r>
      </w:hyperlink>
    </w:p>
    <w:p w:rsidR="00387CE6" w:rsidRPr="003011EC" w:rsidRDefault="00387CE6" w:rsidP="001C31D2">
      <w:pPr>
        <w:pBdr>
          <w:top w:val="single" w:sz="4" w:space="1" w:color="auto"/>
          <w:left w:val="single" w:sz="4" w:space="4" w:color="auto"/>
          <w:bottom w:val="single" w:sz="4" w:space="1" w:color="auto"/>
          <w:right w:val="single" w:sz="4" w:space="4" w:color="auto"/>
        </w:pBdr>
        <w:rPr>
          <w:rFonts w:ascii="Arial" w:hAnsi="Arial" w:cs="Arial"/>
          <w:sz w:val="24"/>
          <w:szCs w:val="24"/>
        </w:rPr>
      </w:pPr>
    </w:p>
    <w:sectPr w:rsidR="00387CE6" w:rsidRPr="003011EC" w:rsidSect="003937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ED" w:rsidRDefault="00FE07ED" w:rsidP="003011EC">
      <w:pPr>
        <w:spacing w:after="0" w:line="240" w:lineRule="auto"/>
      </w:pPr>
      <w:r>
        <w:separator/>
      </w:r>
    </w:p>
  </w:endnote>
  <w:endnote w:type="continuationSeparator" w:id="0">
    <w:p w:rsidR="00FE07ED" w:rsidRDefault="00FE07ED" w:rsidP="0030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E" w:rsidRDefault="00922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2E" w:rsidRDefault="00B114EE" w:rsidP="001C583A">
    <w:pPr>
      <w:pStyle w:val="Footer"/>
    </w:pPr>
    <w:sdt>
      <w:sdtPr>
        <w:id w:val="1296487912"/>
        <w:docPartObj>
          <w:docPartGallery w:val="Page Numbers (Bottom of Page)"/>
          <w:docPartUnique/>
        </w:docPartObj>
      </w:sdtPr>
      <w:sdtEndPr>
        <w:rPr>
          <w:noProof/>
        </w:rPr>
      </w:sdtEndPr>
      <w:sdtContent>
        <w:r w:rsidR="001C583A">
          <w:t xml:space="preserve">OCCG </w:t>
        </w:r>
        <w:r w:rsidR="001C583A">
          <w:rPr>
            <w:noProof/>
            <w:sz w:val="18"/>
            <w:szCs w:val="18"/>
          </w:rPr>
          <w:t>Equality Analysis</w:t>
        </w:r>
        <w:r w:rsidR="009220FE">
          <w:rPr>
            <w:noProof/>
            <w:sz w:val="18"/>
            <w:szCs w:val="18"/>
          </w:rPr>
          <w:t xml:space="preserve"> v.5 </w:t>
        </w:r>
        <w:r w:rsidR="001C583A">
          <w:rPr>
            <w:noProof/>
            <w:sz w:val="18"/>
            <w:szCs w:val="18"/>
          </w:rPr>
          <w:t>adapted from</w:t>
        </w:r>
        <w:r w:rsidR="002133DC" w:rsidRPr="00191699">
          <w:rPr>
            <w:noProof/>
            <w:sz w:val="18"/>
            <w:szCs w:val="18"/>
          </w:rPr>
          <w:t xml:space="preserve"> </w:t>
        </w:r>
        <w:r w:rsidR="00CE3D35">
          <w:rPr>
            <w:noProof/>
            <w:sz w:val="18"/>
            <w:szCs w:val="18"/>
          </w:rPr>
          <w:t xml:space="preserve">Diversity </w:t>
        </w:r>
        <w:r w:rsidR="002133DC" w:rsidRPr="00191699">
          <w:rPr>
            <w:noProof/>
            <w:sz w:val="18"/>
            <w:szCs w:val="18"/>
          </w:rPr>
          <w:t xml:space="preserve">McKenzie </w:t>
        </w:r>
        <w:r w:rsidR="00CE3D35">
          <w:rPr>
            <w:noProof/>
            <w:sz w:val="18"/>
            <w:szCs w:val="18"/>
          </w:rPr>
          <w:t xml:space="preserve">                    </w:t>
        </w:r>
      </w:sdtContent>
    </w:sdt>
    <w:r w:rsidR="001C583A">
      <w:rPr>
        <w:noProof/>
      </w:rPr>
      <w:tab/>
    </w:r>
    <w:r w:rsidR="001C583A" w:rsidRPr="00191699">
      <w:t xml:space="preserve">Page | </w:t>
    </w:r>
    <w:r w:rsidR="001C583A" w:rsidRPr="00191699">
      <w:fldChar w:fldCharType="begin"/>
    </w:r>
    <w:r w:rsidR="001C583A" w:rsidRPr="00191699">
      <w:instrText xml:space="preserve"> PAGE   \* MERGEFORMAT </w:instrText>
    </w:r>
    <w:r w:rsidR="001C583A" w:rsidRPr="00191699">
      <w:fldChar w:fldCharType="separate"/>
    </w:r>
    <w:r>
      <w:rPr>
        <w:noProof/>
      </w:rPr>
      <w:t>1</w:t>
    </w:r>
    <w:r w:rsidR="001C583A" w:rsidRPr="00191699">
      <w:rPr>
        <w:noProof/>
      </w:rPr>
      <w:fldChar w:fldCharType="end"/>
    </w:r>
    <w:r w:rsidR="001C583A">
      <w:rPr>
        <w:noProof/>
      </w:rPr>
      <w:t xml:space="preserve">     </w:t>
    </w:r>
  </w:p>
  <w:p w:rsidR="00AA342E" w:rsidRDefault="00B11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EC" w:rsidRDefault="003011EC">
    <w:pPr>
      <w:pStyle w:val="Footer"/>
    </w:pPr>
    <w:r>
      <w:t xml:space="preserve">OCCG Equality Analysis template </w:t>
    </w:r>
    <w:r w:rsidR="007B1637">
      <w:t xml:space="preserve">v.5 </w:t>
    </w:r>
    <w:r>
      <w:t>adap</w:t>
    </w:r>
    <w:r w:rsidR="003A2CCA">
      <w:t xml:space="preserve">ted from Diversity McKenzie </w:t>
    </w:r>
    <w:r>
      <w:t>Nov. 15</w:t>
    </w:r>
    <w:r w:rsidR="009467BD">
      <w:t xml:space="preserve"> 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ED" w:rsidRDefault="00FE07ED" w:rsidP="003011EC">
      <w:pPr>
        <w:spacing w:after="0" w:line="240" w:lineRule="auto"/>
      </w:pPr>
      <w:r>
        <w:separator/>
      </w:r>
    </w:p>
  </w:footnote>
  <w:footnote w:type="continuationSeparator" w:id="0">
    <w:p w:rsidR="00FE07ED" w:rsidRDefault="00FE07ED" w:rsidP="0030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FE" w:rsidRDefault="00922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CB" w:rsidRPr="00EB02B6" w:rsidRDefault="002133DC" w:rsidP="00EB02B6">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EC" w:rsidRPr="003011EC" w:rsidRDefault="003011EC" w:rsidP="003011EC">
    <w:pPr>
      <w:spacing w:after="0" w:line="240" w:lineRule="auto"/>
      <w:jc w:val="right"/>
    </w:pPr>
    <w:r w:rsidRPr="003011EC">
      <w:rPr>
        <w:noProof/>
        <w:lang w:eastAsia="en-GB"/>
      </w:rPr>
      <w:drawing>
        <wp:inline distT="0" distB="0" distL="0" distR="0" wp14:anchorId="41508B89" wp14:editId="4A05DF09">
          <wp:extent cx="495300" cy="211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961" cy="213889"/>
                  </a:xfrm>
                  <a:prstGeom prst="rect">
                    <a:avLst/>
                  </a:prstGeom>
                  <a:noFill/>
                  <a:ln>
                    <a:noFill/>
                  </a:ln>
                </pic:spPr>
              </pic:pic>
            </a:graphicData>
          </a:graphic>
        </wp:inline>
      </w:drawing>
    </w:r>
  </w:p>
  <w:p w:rsidR="003011EC" w:rsidRPr="003011EC" w:rsidRDefault="003011EC" w:rsidP="003011EC">
    <w:pPr>
      <w:spacing w:after="0" w:line="240" w:lineRule="auto"/>
      <w:jc w:val="right"/>
      <w:rPr>
        <w:sz w:val="20"/>
        <w:szCs w:val="20"/>
      </w:rPr>
    </w:pPr>
    <w:r w:rsidRPr="003011EC">
      <w:rPr>
        <w:rFonts w:ascii="Arial" w:eastAsia="Times New Roman" w:hAnsi="Arial" w:cs="Arial"/>
        <w:b/>
        <w:bCs/>
        <w:i/>
        <w:iCs/>
        <w:sz w:val="20"/>
        <w:szCs w:val="20"/>
        <w:lang w:eastAsia="en-GB"/>
      </w:rPr>
      <w:t>Oxfordshire</w:t>
    </w:r>
  </w:p>
  <w:p w:rsidR="003011EC" w:rsidRPr="003011EC" w:rsidRDefault="003011EC" w:rsidP="003011EC">
    <w:pPr>
      <w:spacing w:after="0" w:line="240" w:lineRule="auto"/>
      <w:jc w:val="right"/>
      <w:rPr>
        <w:rFonts w:ascii="Arial" w:eastAsia="Times New Roman" w:hAnsi="Arial" w:cs="Arial"/>
        <w:b/>
        <w:bCs/>
        <w:i/>
        <w:iCs/>
        <w:sz w:val="20"/>
        <w:szCs w:val="20"/>
        <w:lang w:eastAsia="en-GB"/>
      </w:rPr>
    </w:pPr>
    <w:r w:rsidRPr="003011EC">
      <w:rPr>
        <w:rFonts w:ascii="Arial" w:eastAsia="Times New Roman" w:hAnsi="Arial" w:cs="Arial"/>
        <w:b/>
        <w:bCs/>
        <w:i/>
        <w:iCs/>
        <w:sz w:val="20"/>
        <w:szCs w:val="20"/>
        <w:lang w:eastAsia="en-GB"/>
      </w:rPr>
      <w:t>Clinical Commissioning Group</w:t>
    </w:r>
  </w:p>
  <w:p w:rsidR="003011EC" w:rsidRPr="003011EC" w:rsidRDefault="003011EC" w:rsidP="003011EC">
    <w:pPr>
      <w:spacing w:after="0" w:line="240" w:lineRule="auto"/>
      <w:jc w:val="right"/>
      <w:rPr>
        <w:rFonts w:ascii="Arial" w:eastAsia="Times New Roman" w:hAnsi="Arial" w:cs="Arial"/>
        <w:b/>
        <w:bCs/>
        <w:i/>
        <w:iCs/>
        <w:sz w:val="24"/>
        <w:szCs w:val="24"/>
        <w:lang w:eastAsia="en-GB"/>
      </w:rPr>
    </w:pPr>
  </w:p>
  <w:p w:rsidR="00E376D0" w:rsidRDefault="003011EC" w:rsidP="003011EC">
    <w:pPr>
      <w:pStyle w:val="Header"/>
      <w:tabs>
        <w:tab w:val="left" w:pos="3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66D8E"/>
    <w:multiLevelType w:val="hybridMultilevel"/>
    <w:tmpl w:val="80C4857C"/>
    <w:lvl w:ilvl="0" w:tplc="56D47A6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60128D"/>
    <w:multiLevelType w:val="hybridMultilevel"/>
    <w:tmpl w:val="DCBE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0732D"/>
    <w:multiLevelType w:val="hybridMultilevel"/>
    <w:tmpl w:val="B51C75AC"/>
    <w:lvl w:ilvl="0" w:tplc="6270E95E">
      <w:start w:val="1"/>
      <w:numFmt w:val="bullet"/>
      <w:lvlText w:val=""/>
      <w:lvlJc w:val="left"/>
      <w:pPr>
        <w:ind w:left="360" w:hanging="360"/>
      </w:pPr>
      <w:rPr>
        <w:rFonts w:ascii="Symbol" w:hAnsi="Symbol" w:hint="default"/>
      </w:rPr>
    </w:lvl>
    <w:lvl w:ilvl="1" w:tplc="D77E85E4">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7CC0FAF"/>
    <w:multiLevelType w:val="hybridMultilevel"/>
    <w:tmpl w:val="C974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B756C5"/>
    <w:multiLevelType w:val="hybridMultilevel"/>
    <w:tmpl w:val="F23A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D30933"/>
    <w:multiLevelType w:val="hybridMultilevel"/>
    <w:tmpl w:val="25DA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60200"/>
    <w:multiLevelType w:val="hybridMultilevel"/>
    <w:tmpl w:val="D4BC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E4AEB"/>
    <w:multiLevelType w:val="hybridMultilevel"/>
    <w:tmpl w:val="A814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9D16EE"/>
    <w:multiLevelType w:val="hybridMultilevel"/>
    <w:tmpl w:val="28CE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690225"/>
    <w:multiLevelType w:val="hybridMultilevel"/>
    <w:tmpl w:val="C8A0199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8"/>
  </w:num>
  <w:num w:numId="7">
    <w:abstractNumId w:val="9"/>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7"/>
    <w:rsid w:val="00123E14"/>
    <w:rsid w:val="00152770"/>
    <w:rsid w:val="00156164"/>
    <w:rsid w:val="00156E06"/>
    <w:rsid w:val="00160C90"/>
    <w:rsid w:val="0017162F"/>
    <w:rsid w:val="00185852"/>
    <w:rsid w:val="00186350"/>
    <w:rsid w:val="001C31D2"/>
    <w:rsid w:val="001C583A"/>
    <w:rsid w:val="001E7B16"/>
    <w:rsid w:val="001F5F1D"/>
    <w:rsid w:val="002133DC"/>
    <w:rsid w:val="002953DB"/>
    <w:rsid w:val="002C4EEC"/>
    <w:rsid w:val="002F5DB8"/>
    <w:rsid w:val="003011EC"/>
    <w:rsid w:val="003262C1"/>
    <w:rsid w:val="00345D59"/>
    <w:rsid w:val="00387CE6"/>
    <w:rsid w:val="00393D1A"/>
    <w:rsid w:val="003A2CCA"/>
    <w:rsid w:val="004564A2"/>
    <w:rsid w:val="004564F1"/>
    <w:rsid w:val="004D56DF"/>
    <w:rsid w:val="004E618A"/>
    <w:rsid w:val="004E6F3B"/>
    <w:rsid w:val="00511AE9"/>
    <w:rsid w:val="005407B2"/>
    <w:rsid w:val="00552DF7"/>
    <w:rsid w:val="005B76F9"/>
    <w:rsid w:val="005F4AD3"/>
    <w:rsid w:val="00606FC5"/>
    <w:rsid w:val="0064730D"/>
    <w:rsid w:val="0069577B"/>
    <w:rsid w:val="006B18E0"/>
    <w:rsid w:val="006B4143"/>
    <w:rsid w:val="006B452F"/>
    <w:rsid w:val="006B4DFF"/>
    <w:rsid w:val="006E656E"/>
    <w:rsid w:val="007B1637"/>
    <w:rsid w:val="007B70F8"/>
    <w:rsid w:val="007E4544"/>
    <w:rsid w:val="00825186"/>
    <w:rsid w:val="0085336A"/>
    <w:rsid w:val="00871F7E"/>
    <w:rsid w:val="008843B8"/>
    <w:rsid w:val="008A48E1"/>
    <w:rsid w:val="008D0D1F"/>
    <w:rsid w:val="008E3240"/>
    <w:rsid w:val="008F6A7A"/>
    <w:rsid w:val="00921790"/>
    <w:rsid w:val="009220FE"/>
    <w:rsid w:val="00927177"/>
    <w:rsid w:val="009467BD"/>
    <w:rsid w:val="00966F65"/>
    <w:rsid w:val="00994A6F"/>
    <w:rsid w:val="009D43A4"/>
    <w:rsid w:val="00A35AE7"/>
    <w:rsid w:val="00A84D5A"/>
    <w:rsid w:val="00AB3A0B"/>
    <w:rsid w:val="00AC2CD1"/>
    <w:rsid w:val="00AF0906"/>
    <w:rsid w:val="00AF75D6"/>
    <w:rsid w:val="00B114EE"/>
    <w:rsid w:val="00B63265"/>
    <w:rsid w:val="00B84097"/>
    <w:rsid w:val="00BA7E78"/>
    <w:rsid w:val="00BB2DC5"/>
    <w:rsid w:val="00BC6F4A"/>
    <w:rsid w:val="00C00867"/>
    <w:rsid w:val="00C93CDA"/>
    <w:rsid w:val="00CE3D35"/>
    <w:rsid w:val="00D5020B"/>
    <w:rsid w:val="00D73A00"/>
    <w:rsid w:val="00D74905"/>
    <w:rsid w:val="00D775A5"/>
    <w:rsid w:val="00DE4EC1"/>
    <w:rsid w:val="00E37EFA"/>
    <w:rsid w:val="00E62893"/>
    <w:rsid w:val="00E97B83"/>
    <w:rsid w:val="00F15D1F"/>
    <w:rsid w:val="00F33411"/>
    <w:rsid w:val="00FE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E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E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11EC"/>
    <w:rPr>
      <w:rFonts w:asciiTheme="minorHAnsi" w:hAnsiTheme="minorHAnsi"/>
      <w:sz w:val="22"/>
    </w:rPr>
  </w:style>
  <w:style w:type="paragraph" w:styleId="Header">
    <w:name w:val="header"/>
    <w:basedOn w:val="Normal"/>
    <w:link w:val="HeaderChar"/>
    <w:uiPriority w:val="99"/>
    <w:unhideWhenUsed/>
    <w:rsid w:val="0030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EC"/>
    <w:rPr>
      <w:rFonts w:asciiTheme="minorHAnsi" w:hAnsiTheme="minorHAnsi"/>
      <w:sz w:val="22"/>
    </w:rPr>
  </w:style>
  <w:style w:type="paragraph" w:styleId="Footer">
    <w:name w:val="footer"/>
    <w:basedOn w:val="Normal"/>
    <w:link w:val="FooterChar"/>
    <w:uiPriority w:val="99"/>
    <w:unhideWhenUsed/>
    <w:rsid w:val="0030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EC"/>
    <w:rPr>
      <w:rFonts w:asciiTheme="minorHAnsi" w:hAnsiTheme="minorHAnsi"/>
      <w:sz w:val="22"/>
    </w:rPr>
  </w:style>
  <w:style w:type="paragraph" w:styleId="ListParagraph">
    <w:name w:val="List Paragraph"/>
    <w:basedOn w:val="Normal"/>
    <w:link w:val="ListParagraphChar"/>
    <w:uiPriority w:val="34"/>
    <w:qFormat/>
    <w:rsid w:val="003011EC"/>
    <w:pPr>
      <w:ind w:left="720"/>
      <w:contextualSpacing/>
    </w:pPr>
  </w:style>
  <w:style w:type="paragraph" w:styleId="BalloonText">
    <w:name w:val="Balloon Text"/>
    <w:basedOn w:val="Normal"/>
    <w:link w:val="BalloonTextChar"/>
    <w:uiPriority w:val="99"/>
    <w:semiHidden/>
    <w:unhideWhenUsed/>
    <w:rsid w:val="0030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EC"/>
    <w:rPr>
      <w:rFonts w:ascii="Tahoma" w:hAnsi="Tahoma" w:cs="Tahoma"/>
      <w:sz w:val="16"/>
      <w:szCs w:val="16"/>
    </w:rPr>
  </w:style>
  <w:style w:type="character" w:styleId="Hyperlink">
    <w:name w:val="Hyperlink"/>
    <w:basedOn w:val="DefaultParagraphFont"/>
    <w:uiPriority w:val="99"/>
    <w:unhideWhenUsed/>
    <w:rsid w:val="001C31D2"/>
    <w:rPr>
      <w:color w:val="0000FF" w:themeColor="hyperlink"/>
      <w:u w:val="single"/>
    </w:rPr>
  </w:style>
  <w:style w:type="character" w:customStyle="1" w:styleId="ListParagraphChar">
    <w:name w:val="List Paragraph Char"/>
    <w:link w:val="ListParagraph"/>
    <w:uiPriority w:val="34"/>
    <w:locked/>
    <w:rsid w:val="00D775A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E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E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11EC"/>
    <w:rPr>
      <w:rFonts w:asciiTheme="minorHAnsi" w:hAnsiTheme="minorHAnsi"/>
      <w:sz w:val="22"/>
    </w:rPr>
  </w:style>
  <w:style w:type="paragraph" w:styleId="Header">
    <w:name w:val="header"/>
    <w:basedOn w:val="Normal"/>
    <w:link w:val="HeaderChar"/>
    <w:uiPriority w:val="99"/>
    <w:unhideWhenUsed/>
    <w:rsid w:val="0030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EC"/>
    <w:rPr>
      <w:rFonts w:asciiTheme="minorHAnsi" w:hAnsiTheme="minorHAnsi"/>
      <w:sz w:val="22"/>
    </w:rPr>
  </w:style>
  <w:style w:type="paragraph" w:styleId="Footer">
    <w:name w:val="footer"/>
    <w:basedOn w:val="Normal"/>
    <w:link w:val="FooterChar"/>
    <w:uiPriority w:val="99"/>
    <w:unhideWhenUsed/>
    <w:rsid w:val="0030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EC"/>
    <w:rPr>
      <w:rFonts w:asciiTheme="minorHAnsi" w:hAnsiTheme="minorHAnsi"/>
      <w:sz w:val="22"/>
    </w:rPr>
  </w:style>
  <w:style w:type="paragraph" w:styleId="ListParagraph">
    <w:name w:val="List Paragraph"/>
    <w:basedOn w:val="Normal"/>
    <w:link w:val="ListParagraphChar"/>
    <w:uiPriority w:val="34"/>
    <w:qFormat/>
    <w:rsid w:val="003011EC"/>
    <w:pPr>
      <w:ind w:left="720"/>
      <w:contextualSpacing/>
    </w:pPr>
  </w:style>
  <w:style w:type="paragraph" w:styleId="BalloonText">
    <w:name w:val="Balloon Text"/>
    <w:basedOn w:val="Normal"/>
    <w:link w:val="BalloonTextChar"/>
    <w:uiPriority w:val="99"/>
    <w:semiHidden/>
    <w:unhideWhenUsed/>
    <w:rsid w:val="0030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EC"/>
    <w:rPr>
      <w:rFonts w:ascii="Tahoma" w:hAnsi="Tahoma" w:cs="Tahoma"/>
      <w:sz w:val="16"/>
      <w:szCs w:val="16"/>
    </w:rPr>
  </w:style>
  <w:style w:type="character" w:styleId="Hyperlink">
    <w:name w:val="Hyperlink"/>
    <w:basedOn w:val="DefaultParagraphFont"/>
    <w:uiPriority w:val="99"/>
    <w:unhideWhenUsed/>
    <w:rsid w:val="001C31D2"/>
    <w:rPr>
      <w:color w:val="0000FF" w:themeColor="hyperlink"/>
      <w:u w:val="single"/>
    </w:rPr>
  </w:style>
  <w:style w:type="character" w:customStyle="1" w:styleId="ListParagraphChar">
    <w:name w:val="List Paragraph Char"/>
    <w:link w:val="ListParagraph"/>
    <w:uiPriority w:val="34"/>
    <w:locked/>
    <w:rsid w:val="00D775A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0243">
      <w:bodyDiv w:val="1"/>
      <w:marLeft w:val="0"/>
      <w:marRight w:val="0"/>
      <w:marTop w:val="0"/>
      <w:marBottom w:val="0"/>
      <w:divBdr>
        <w:top w:val="none" w:sz="0" w:space="0" w:color="auto"/>
        <w:left w:val="none" w:sz="0" w:space="0" w:color="auto"/>
        <w:bottom w:val="none" w:sz="0" w:space="0" w:color="auto"/>
        <w:right w:val="none" w:sz="0" w:space="0" w:color="auto"/>
      </w:divBdr>
    </w:div>
    <w:div w:id="12359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homas.stocker@oxfordshireccg.nhs.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aura.carter@oxfordshireccg.nhs.uk" TargetMode="External"/><Relationship Id="rId2" Type="http://schemas.openxmlformats.org/officeDocument/2006/relationships/styles" Target="styles.xml"/><Relationship Id="rId16" Type="http://schemas.openxmlformats.org/officeDocument/2006/relationships/hyperlink" Target="mailto:linda.adhana@oxfordshireccg.nhs.uk" TargetMode="External"/><Relationship Id="rId20" Type="http://schemas.openxmlformats.org/officeDocument/2006/relationships/hyperlink" Target="mailto:Nigel.carter@oxfordshireccg.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nizah.imam@oxfordshireccg.nhs.uk" TargetMode="External"/><Relationship Id="rId10" Type="http://schemas.openxmlformats.org/officeDocument/2006/relationships/footer" Target="footer1.xml"/><Relationship Id="rId19" Type="http://schemas.openxmlformats.org/officeDocument/2006/relationships/hyperlink" Target="mailto:Alan.dodge@oxfordshireccg.nhs.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ggie.dent@oxfordshireccg.nhs.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13085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2016-04-22T08:44:00Z</dcterms:created>
  <dcterms:modified xsi:type="dcterms:W3CDTF">2016-04-22T08:44:00Z</dcterms:modified>
</cp:coreProperties>
</file>